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542249" w:rsidRDefault="00542249">
      <w:pPr>
        <w:spacing w:after="280" w:line="240" w:lineRule="auto"/>
        <w:ind w:firstLine="720"/>
        <w:rPr>
          <w:rFonts w:ascii="Times New Roman" w:eastAsia="Times New Roman" w:hAnsi="Times New Roman" w:cs="Times New Roman"/>
          <w:sz w:val="28"/>
          <w:szCs w:val="28"/>
        </w:rPr>
      </w:pPr>
    </w:p>
    <w:tbl>
      <w:tblPr>
        <w:tblStyle w:val="af1"/>
        <w:tblW w:w="965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0"/>
        <w:gridCol w:w="4835"/>
      </w:tblGrid>
      <w:tr w:rsidR="00542249">
        <w:tc>
          <w:tcPr>
            <w:tcW w:w="4820" w:type="dxa"/>
            <w:tcBorders>
              <w:top w:val="nil"/>
              <w:left w:val="nil"/>
              <w:bottom w:val="nil"/>
              <w:right w:val="nil"/>
            </w:tcBorders>
          </w:tcPr>
          <w:p w:rsidR="00542249" w:rsidRDefault="00542249">
            <w:pPr>
              <w:ind w:firstLine="720"/>
              <w:jc w:val="both"/>
              <w:rPr>
                <w:rFonts w:ascii="Times New Roman" w:eastAsia="Times New Roman" w:hAnsi="Times New Roman" w:cs="Times New Roman"/>
                <w:b/>
                <w:bCs/>
                <w:sz w:val="28"/>
                <w:szCs w:val="28"/>
              </w:rPr>
            </w:pPr>
          </w:p>
        </w:tc>
        <w:tc>
          <w:tcPr>
            <w:tcW w:w="4835" w:type="dxa"/>
            <w:tcBorders>
              <w:top w:val="nil"/>
              <w:left w:val="nil"/>
              <w:bottom w:val="nil"/>
              <w:right w:val="nil"/>
            </w:tcBorders>
          </w:tcPr>
          <w:p w:rsidR="00542249" w:rsidRDefault="00016EAC">
            <w:pPr>
              <w:spacing w:after="280"/>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ЗАТВЕРДЖЕНО</w:t>
            </w:r>
          </w:p>
          <w:p w:rsidR="00542249" w:rsidRDefault="00016EAC">
            <w:pPr>
              <w:pBdr>
                <w:top w:val="nil"/>
                <w:left w:val="nil"/>
                <w:bottom w:val="nil"/>
                <w:right w:val="nil"/>
                <w:between w:val="nil"/>
              </w:pBdr>
              <w:spacing w:after="280"/>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Рішенням виконавчого комітету Бучанської міської ради</w:t>
            </w:r>
          </w:p>
          <w:p w:rsidR="00542249" w:rsidRDefault="008832C5">
            <w:pPr>
              <w:pBdr>
                <w:top w:val="nil"/>
                <w:left w:val="nil"/>
                <w:bottom w:val="nil"/>
                <w:right w:val="nil"/>
                <w:between w:val="nil"/>
              </w:pBdr>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uk-UA"/>
              </w:rPr>
              <w:t>27.03.2026</w:t>
            </w:r>
            <w:r w:rsidR="00016EAC">
              <w:rPr>
                <w:rFonts w:ascii="Times New Roman" w:eastAsia="Times New Roman" w:hAnsi="Times New Roman" w:cs="Times New Roman"/>
                <w:b/>
                <w:bCs/>
                <w:color w:val="000000"/>
                <w:sz w:val="28"/>
                <w:szCs w:val="28"/>
              </w:rPr>
              <w:t xml:space="preserve"> за №_</w:t>
            </w:r>
            <w:r>
              <w:rPr>
                <w:rFonts w:ascii="Times New Roman" w:eastAsia="Times New Roman" w:hAnsi="Times New Roman" w:cs="Times New Roman"/>
                <w:b/>
                <w:bCs/>
                <w:color w:val="000000"/>
                <w:sz w:val="28"/>
                <w:szCs w:val="28"/>
                <w:lang w:val="uk-UA"/>
              </w:rPr>
              <w:t>413</w:t>
            </w:r>
            <w:r w:rsidR="00016EAC">
              <w:rPr>
                <w:rFonts w:ascii="Times New Roman" w:eastAsia="Times New Roman" w:hAnsi="Times New Roman" w:cs="Times New Roman"/>
                <w:b/>
                <w:bCs/>
                <w:color w:val="000000"/>
                <w:sz w:val="28"/>
                <w:szCs w:val="28"/>
              </w:rPr>
              <w:t>___</w:t>
            </w:r>
          </w:p>
        </w:tc>
      </w:tr>
    </w:tbl>
    <w:p w:rsidR="00542249" w:rsidRDefault="00542249">
      <w:pPr>
        <w:widowControl w:val="0"/>
        <w:pBdr>
          <w:top w:val="nil"/>
          <w:left w:val="nil"/>
          <w:bottom w:val="nil"/>
          <w:right w:val="nil"/>
          <w:between w:val="nil"/>
        </w:pBdr>
        <w:spacing w:after="280" w:line="240" w:lineRule="auto"/>
        <w:ind w:firstLine="720"/>
        <w:jc w:val="both"/>
        <w:rPr>
          <w:rFonts w:ascii="Times New Roman" w:eastAsia="Times New Roman" w:hAnsi="Times New Roman" w:cs="Times New Roman"/>
          <w:color w:val="000000"/>
          <w:sz w:val="28"/>
          <w:szCs w:val="28"/>
        </w:rPr>
      </w:pPr>
    </w:p>
    <w:p w:rsidR="00542249" w:rsidRDefault="00542249">
      <w:pPr>
        <w:widowControl w:val="0"/>
        <w:pBdr>
          <w:top w:val="nil"/>
          <w:left w:val="nil"/>
          <w:bottom w:val="nil"/>
          <w:right w:val="nil"/>
          <w:between w:val="nil"/>
        </w:pBdr>
        <w:spacing w:after="280" w:line="240" w:lineRule="auto"/>
        <w:ind w:firstLine="720"/>
        <w:jc w:val="both"/>
        <w:rPr>
          <w:rFonts w:ascii="Times New Roman" w:eastAsia="Times New Roman" w:hAnsi="Times New Roman" w:cs="Times New Roman"/>
          <w:color w:val="000000"/>
          <w:sz w:val="28"/>
          <w:szCs w:val="28"/>
        </w:rPr>
      </w:pPr>
    </w:p>
    <w:p w:rsidR="00542249" w:rsidRDefault="00542249">
      <w:pPr>
        <w:widowControl w:val="0"/>
        <w:pBdr>
          <w:top w:val="nil"/>
          <w:left w:val="nil"/>
          <w:bottom w:val="nil"/>
          <w:right w:val="nil"/>
          <w:between w:val="nil"/>
        </w:pBdr>
        <w:spacing w:after="280" w:line="240" w:lineRule="auto"/>
        <w:ind w:firstLine="720"/>
        <w:jc w:val="both"/>
        <w:rPr>
          <w:rFonts w:ascii="Times New Roman" w:eastAsia="Times New Roman" w:hAnsi="Times New Roman" w:cs="Times New Roman"/>
          <w:color w:val="000000"/>
          <w:sz w:val="28"/>
          <w:szCs w:val="28"/>
        </w:rPr>
      </w:pPr>
    </w:p>
    <w:p w:rsidR="00542249" w:rsidRDefault="00542249">
      <w:pPr>
        <w:widowControl w:val="0"/>
        <w:pBdr>
          <w:top w:val="nil"/>
          <w:left w:val="nil"/>
          <w:bottom w:val="nil"/>
          <w:right w:val="nil"/>
          <w:between w:val="nil"/>
        </w:pBdr>
        <w:spacing w:after="280" w:line="240" w:lineRule="auto"/>
        <w:jc w:val="both"/>
        <w:rPr>
          <w:rFonts w:ascii="Times New Roman" w:eastAsia="Times New Roman" w:hAnsi="Times New Roman" w:cs="Times New Roman"/>
          <w:color w:val="000000"/>
          <w:sz w:val="28"/>
          <w:szCs w:val="28"/>
        </w:rPr>
      </w:pPr>
    </w:p>
    <w:p w:rsidR="00542249" w:rsidRDefault="00542249">
      <w:pPr>
        <w:widowControl w:val="0"/>
        <w:pBdr>
          <w:top w:val="nil"/>
          <w:left w:val="nil"/>
          <w:bottom w:val="nil"/>
          <w:right w:val="nil"/>
          <w:between w:val="nil"/>
        </w:pBdr>
        <w:spacing w:after="280" w:line="240" w:lineRule="auto"/>
        <w:ind w:firstLine="720"/>
        <w:jc w:val="both"/>
        <w:rPr>
          <w:rFonts w:ascii="Times New Roman" w:eastAsia="Times New Roman" w:hAnsi="Times New Roman" w:cs="Times New Roman"/>
          <w:color w:val="000000"/>
          <w:sz w:val="28"/>
          <w:szCs w:val="28"/>
        </w:rPr>
      </w:pPr>
    </w:p>
    <w:p w:rsidR="00542249" w:rsidRDefault="00016EAC">
      <w:pPr>
        <w:pStyle w:val="a3"/>
        <w:spacing w:before="0" w:after="280"/>
        <w:ind w:left="0" w:right="0" w:firstLine="720"/>
        <w:rPr>
          <w:sz w:val="28"/>
          <w:szCs w:val="28"/>
        </w:rPr>
      </w:pPr>
      <w:r>
        <w:rPr>
          <w:sz w:val="28"/>
          <w:szCs w:val="28"/>
        </w:rPr>
        <w:t>СТРАТЕГІЧНИЙ ПЛАН РОЗВИТКУ</w:t>
      </w:r>
    </w:p>
    <w:p w:rsidR="00542249" w:rsidRDefault="00542249">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color w:val="000000"/>
          <w:sz w:val="28"/>
          <w:szCs w:val="28"/>
        </w:rPr>
      </w:pPr>
    </w:p>
    <w:p w:rsidR="00542249" w:rsidRDefault="00016EAC">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КОМУНАЛЬНЕ ПІДПРИЄМСТВО</w:t>
      </w:r>
    </w:p>
    <w:p w:rsidR="00542249" w:rsidRDefault="00016EAC">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«БУЧАНСЬКА АГЕНЦІЯ РЕГІОНАЛЬНОГО РОЗВИТКУ»</w:t>
      </w:r>
    </w:p>
    <w:p w:rsidR="00542249" w:rsidRDefault="00016EAC">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БУЧАНСЬКОЇ МІСЬКОЇ РАДИ</w:t>
      </w:r>
    </w:p>
    <w:p w:rsidR="00542249" w:rsidRDefault="00016EAC">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Код ЄДРПОУ </w:t>
      </w:r>
      <w:r>
        <w:rPr>
          <w:rFonts w:ascii="Times New Roman" w:eastAsia="Times New Roman" w:hAnsi="Times New Roman" w:cs="Times New Roman"/>
          <w:b/>
          <w:bCs/>
          <w:color w:val="000000"/>
          <w:sz w:val="28"/>
          <w:szCs w:val="28"/>
        </w:rPr>
        <w:t>44148918</w:t>
      </w:r>
    </w:p>
    <w:p w:rsidR="00542249" w:rsidRDefault="00542249">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b/>
          <w:bCs/>
          <w:color w:val="000000"/>
          <w:sz w:val="28"/>
          <w:szCs w:val="28"/>
        </w:rPr>
      </w:pPr>
    </w:p>
    <w:p w:rsidR="00542249" w:rsidRDefault="00016EAC">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на  2026-2028 роки</w:t>
      </w:r>
    </w:p>
    <w:p w:rsidR="00542249" w:rsidRDefault="00542249">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color w:val="000000"/>
          <w:sz w:val="28"/>
          <w:szCs w:val="28"/>
        </w:rPr>
      </w:pPr>
    </w:p>
    <w:p w:rsidR="00542249" w:rsidRDefault="00542249">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color w:val="000000"/>
          <w:sz w:val="28"/>
          <w:szCs w:val="28"/>
        </w:rPr>
      </w:pPr>
    </w:p>
    <w:p w:rsidR="00542249" w:rsidRDefault="00542249">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color w:val="000000"/>
          <w:sz w:val="28"/>
          <w:szCs w:val="28"/>
        </w:rPr>
      </w:pPr>
    </w:p>
    <w:p w:rsidR="00542249" w:rsidRDefault="00542249">
      <w:pPr>
        <w:widowControl w:val="0"/>
        <w:pBdr>
          <w:top w:val="nil"/>
          <w:left w:val="nil"/>
          <w:bottom w:val="nil"/>
          <w:right w:val="nil"/>
          <w:between w:val="nil"/>
        </w:pBdr>
        <w:spacing w:after="280" w:line="240" w:lineRule="auto"/>
        <w:ind w:firstLine="720"/>
        <w:jc w:val="center"/>
        <w:rPr>
          <w:rFonts w:ascii="Times New Roman" w:eastAsia="Times New Roman" w:hAnsi="Times New Roman" w:cs="Times New Roman"/>
          <w:sz w:val="28"/>
          <w:szCs w:val="28"/>
        </w:rPr>
      </w:pPr>
    </w:p>
    <w:p w:rsidR="00542249" w:rsidRDefault="00542249">
      <w:pPr>
        <w:pStyle w:val="1"/>
        <w:spacing w:after="280"/>
        <w:ind w:firstLine="720"/>
        <w:jc w:val="center"/>
        <w:rPr>
          <w:sz w:val="28"/>
          <w:szCs w:val="28"/>
        </w:rPr>
      </w:pPr>
    </w:p>
    <w:p w:rsidR="00542249" w:rsidRDefault="00016EAC">
      <w:pPr>
        <w:pStyle w:val="1"/>
        <w:spacing w:after="280"/>
        <w:ind w:firstLine="720"/>
        <w:jc w:val="center"/>
        <w:rPr>
          <w:color w:val="000000"/>
          <w:sz w:val="28"/>
          <w:szCs w:val="28"/>
        </w:rPr>
      </w:pPr>
      <w:r>
        <w:rPr>
          <w:color w:val="000000"/>
          <w:sz w:val="28"/>
          <w:szCs w:val="28"/>
        </w:rPr>
        <w:t>БУЧА</w:t>
      </w:r>
    </w:p>
    <w:p w:rsidR="00542249" w:rsidRDefault="00016EAC">
      <w:pPr>
        <w:pStyle w:val="1"/>
        <w:spacing w:after="280"/>
        <w:ind w:firstLine="720"/>
        <w:jc w:val="center"/>
        <w:rPr>
          <w:sz w:val="28"/>
          <w:szCs w:val="28"/>
        </w:rPr>
      </w:pPr>
      <w:r>
        <w:rPr>
          <w:color w:val="000000"/>
          <w:sz w:val="28"/>
          <w:szCs w:val="28"/>
        </w:rPr>
        <w:t>202</w:t>
      </w:r>
      <w:r>
        <w:rPr>
          <w:sz w:val="28"/>
          <w:szCs w:val="28"/>
        </w:rPr>
        <w:t>6</w:t>
      </w:r>
    </w:p>
    <w:p w:rsidR="00542249" w:rsidRDefault="00542249">
      <w:pPr>
        <w:rPr>
          <w:rFonts w:ascii="Times New Roman" w:eastAsia="Times New Roman" w:hAnsi="Times New Roman" w:cs="Times New Roman"/>
          <w:b/>
          <w:bCs/>
          <w:sz w:val="28"/>
          <w:szCs w:val="28"/>
        </w:rPr>
      </w:pPr>
    </w:p>
    <w:p w:rsidR="00542249" w:rsidRDefault="00542249">
      <w:pPr>
        <w:pStyle w:val="1"/>
        <w:spacing w:after="280"/>
        <w:ind w:firstLine="720"/>
        <w:jc w:val="center"/>
        <w:rPr>
          <w:color w:val="000000"/>
          <w:sz w:val="28"/>
          <w:szCs w:val="28"/>
        </w:rPr>
      </w:pPr>
    </w:p>
    <w:p w:rsidR="00542249" w:rsidRDefault="00016EAC">
      <w:pPr>
        <w:pStyle w:val="1"/>
        <w:spacing w:after="280"/>
        <w:ind w:firstLine="720"/>
        <w:jc w:val="center"/>
        <w:rPr>
          <w:sz w:val="28"/>
          <w:szCs w:val="28"/>
        </w:rPr>
      </w:pPr>
      <w:r>
        <w:rPr>
          <w:sz w:val="28"/>
          <w:szCs w:val="28"/>
        </w:rPr>
        <w:t>ЗМІСТ</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Вступ </w:t>
      </w:r>
      <w:r>
        <w:rPr>
          <w:rFonts w:ascii="Times New Roman" w:eastAsia="Times New Roman" w:hAnsi="Times New Roman" w:cs="Times New Roman"/>
          <w:sz w:val="24"/>
          <w:szCs w:val="24"/>
        </w:rPr>
        <w:t>.................................................................................................................................................... 3</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РОЗДІЛ 1.</w:t>
      </w:r>
      <w:r>
        <w:rPr>
          <w:rFonts w:ascii="Times New Roman" w:eastAsia="Times New Roman" w:hAnsi="Times New Roman" w:cs="Times New Roman"/>
          <w:sz w:val="24"/>
          <w:szCs w:val="24"/>
        </w:rPr>
        <w:t xml:space="preserve"> ЗАГАЛЬНА ІНФОРМАЦІЯ ПРО СУБ’ЄКТ ГОСПОДАРЮВАННЯ ........................ 4 </w:t>
      </w:r>
      <w:r>
        <w:rPr>
          <w:rFonts w:ascii="Times New Roman" w:eastAsia="Times New Roman" w:hAnsi="Times New Roman" w:cs="Times New Roman"/>
          <w:b/>
          <w:bCs/>
          <w:sz w:val="24"/>
          <w:szCs w:val="24"/>
        </w:rPr>
        <w:t>РОЗДІЛ 2.</w:t>
      </w:r>
      <w:r>
        <w:rPr>
          <w:rFonts w:ascii="Times New Roman" w:eastAsia="Times New Roman" w:hAnsi="Times New Roman" w:cs="Times New Roman"/>
          <w:sz w:val="24"/>
          <w:szCs w:val="24"/>
        </w:rPr>
        <w:t xml:space="preserve"> АНАЛІЗ ВНУ</w:t>
      </w:r>
      <w:r>
        <w:rPr>
          <w:rFonts w:ascii="Times New Roman" w:eastAsia="Times New Roman" w:hAnsi="Times New Roman" w:cs="Times New Roman"/>
          <w:sz w:val="24"/>
          <w:szCs w:val="24"/>
        </w:rPr>
        <w:t>ТРІШНЬОГО ТА ЗОВНІШНЬОГО СЕРЕДОВИЩА .......................... 7 2.1. Аналіз зовнішнього середовища ................................................................................................ 7 2.2. Аналіз внутрішнього середовища .....................</w:t>
      </w:r>
      <w:r>
        <w:rPr>
          <w:rFonts w:ascii="Times New Roman" w:eastAsia="Times New Roman" w:hAnsi="Times New Roman" w:cs="Times New Roman"/>
          <w:sz w:val="24"/>
          <w:szCs w:val="24"/>
        </w:rPr>
        <w:t>......................................................................... 8 2.3.Внутрішній аналіз та матриця сильних, слабких сторін, можливостей і загроз .................... 9 2.4. Стратегічні рішення на основі матриці “стратегічних дій”.................</w:t>
      </w:r>
      <w:r>
        <w:rPr>
          <w:rFonts w:ascii="Times New Roman" w:eastAsia="Times New Roman" w:hAnsi="Times New Roman" w:cs="Times New Roman"/>
          <w:sz w:val="24"/>
          <w:szCs w:val="24"/>
        </w:rPr>
        <w:t xml:space="preserve">................................... 12 </w:t>
      </w:r>
      <w:r>
        <w:rPr>
          <w:rFonts w:ascii="Times New Roman" w:eastAsia="Times New Roman" w:hAnsi="Times New Roman" w:cs="Times New Roman"/>
          <w:sz w:val="24"/>
          <w:szCs w:val="24"/>
        </w:rPr>
        <w:br/>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РОЗДІЛ 3</w:t>
      </w:r>
      <w:r>
        <w:rPr>
          <w:rFonts w:ascii="Times New Roman" w:eastAsia="Times New Roman" w:hAnsi="Times New Roman" w:cs="Times New Roman"/>
          <w:sz w:val="24"/>
          <w:szCs w:val="24"/>
        </w:rPr>
        <w:t>. МІСІЯ, ВІЗІЯ ТА ПРИНЦИПИ ДІЯЛЬНОСТІ ........................................................... 14</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3.1. Місія Агенції .......................................................................................</w:t>
      </w:r>
      <w:r>
        <w:rPr>
          <w:rFonts w:ascii="Times New Roman" w:eastAsia="Times New Roman" w:hAnsi="Times New Roman" w:cs="Times New Roman"/>
          <w:sz w:val="24"/>
          <w:szCs w:val="24"/>
        </w:rPr>
        <w:t>....................................... 14 3.2. Візія Агенції ...............................................................................................................................14 3.3. Цінності та принципи роботи Агенції .......................</w:t>
      </w:r>
      <w:r>
        <w:rPr>
          <w:rFonts w:ascii="Times New Roman" w:eastAsia="Times New Roman" w:hAnsi="Times New Roman" w:cs="Times New Roman"/>
          <w:sz w:val="24"/>
          <w:szCs w:val="24"/>
        </w:rPr>
        <w:t>.............................................................. 14 3.4. Взаємодія та управління ............................................................................................................ 15</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3.5. Пошук можливостей та реалізація проєкту ство</w:t>
      </w:r>
      <w:r>
        <w:rPr>
          <w:rFonts w:ascii="Times New Roman" w:eastAsia="Times New Roman" w:hAnsi="Times New Roman" w:cs="Times New Roman"/>
          <w:sz w:val="24"/>
          <w:szCs w:val="24"/>
        </w:rPr>
        <w:t>рення публічного простору «Urban Space» .............................................................................................................................................................. 15</w:t>
      </w:r>
    </w:p>
    <w:p w:rsidR="00542249" w:rsidRDefault="00016EAC">
      <w:pPr>
        <w:spacing w:after="0" w:line="240" w:lineRule="auto"/>
        <w:jc w:val="both"/>
        <w:rPr>
          <w:rFonts w:ascii="Times New Roman" w:eastAsia="Times New Roman" w:hAnsi="Times New Roman" w:cs="Times New Roman"/>
          <w:color w:val="1F1F1F"/>
          <w:sz w:val="24"/>
          <w:szCs w:val="24"/>
        </w:rPr>
      </w:pPr>
      <w:r>
        <w:rPr>
          <w:rFonts w:ascii="Times New Roman" w:eastAsia="Times New Roman" w:hAnsi="Times New Roman" w:cs="Times New Roman"/>
          <w:color w:val="1F1F1F"/>
          <w:sz w:val="24"/>
          <w:szCs w:val="24"/>
        </w:rPr>
        <w:t xml:space="preserve">3.6. Цифрова платформа та централізовані реєстри </w:t>
      </w:r>
      <w:r>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1F1F1F"/>
          <w:sz w:val="24"/>
          <w:szCs w:val="24"/>
        </w:rPr>
        <w:t>16</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РОЗДІЛ 4.</w:t>
      </w:r>
      <w:r>
        <w:rPr>
          <w:rFonts w:ascii="Times New Roman" w:eastAsia="Times New Roman" w:hAnsi="Times New Roman" w:cs="Times New Roman"/>
          <w:sz w:val="24"/>
          <w:szCs w:val="24"/>
        </w:rPr>
        <w:t xml:space="preserve"> СТРАТЕГІЧНІ ЦІЛІ ТА ПРІОРИТЕТНІ ПРОЄКТИ (2026–2028) ............................ 17 4.1.Реалізація муніципального індустріального парку «Бабинці» ..............................</w:t>
      </w:r>
      <w:r>
        <w:rPr>
          <w:rFonts w:ascii="Times New Roman" w:eastAsia="Times New Roman" w:hAnsi="Times New Roman" w:cs="Times New Roman"/>
          <w:sz w:val="24"/>
          <w:szCs w:val="24"/>
        </w:rPr>
        <w:t>................. 17 4.2. Сприяння розвитку індустріального кластеру «Bucha Techno Garden» ............................... 17 4.3. Розвиток рекреаційно-реабілітаційного проєкту «Мироцькі озера» .................................... 18 4.4. Цифрова інфрастру</w:t>
      </w:r>
      <w:r>
        <w:rPr>
          <w:rFonts w:ascii="Times New Roman" w:eastAsia="Times New Roman" w:hAnsi="Times New Roman" w:cs="Times New Roman"/>
          <w:sz w:val="24"/>
          <w:szCs w:val="24"/>
        </w:rPr>
        <w:t xml:space="preserve">ктура та інвестиційна екосистема громади ............................................ 19 4.5. Логіка стратегічного зростання та диверсифікації діяльності БАРР .................................... 19 </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РОЗДІЛ 5.</w:t>
      </w:r>
      <w:r>
        <w:rPr>
          <w:rFonts w:ascii="Times New Roman" w:eastAsia="Times New Roman" w:hAnsi="Times New Roman" w:cs="Times New Roman"/>
          <w:sz w:val="24"/>
          <w:szCs w:val="24"/>
        </w:rPr>
        <w:t xml:space="preserve"> ПРІОРИТЕТНІ ВЕРТИКАЛІ МУНІЦИПАЛЬНОГО РОЗВИТКУ</w:t>
      </w:r>
      <w:r>
        <w:rPr>
          <w:rFonts w:ascii="Times New Roman" w:eastAsia="Times New Roman" w:hAnsi="Times New Roman" w:cs="Times New Roman"/>
          <w:sz w:val="24"/>
          <w:szCs w:val="24"/>
        </w:rPr>
        <w:t xml:space="preserve"> ........................... 22</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5.1. Енергетична безпека та розподілена генерація ....................................................................... 22</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5.2.  Модернізація водно-каналізаційного господарства .............................................</w:t>
      </w:r>
      <w:r>
        <w:rPr>
          <w:rFonts w:ascii="Times New Roman" w:eastAsia="Times New Roman" w:hAnsi="Times New Roman" w:cs="Times New Roman"/>
          <w:sz w:val="24"/>
          <w:szCs w:val="24"/>
        </w:rPr>
        <w:t>.................. 22</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5.3. Соціальне житло та інклюзивна інфраструктура .................................................................... 23</w:t>
      </w: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РОЗДІЛ 6.</w:t>
      </w:r>
      <w:r>
        <w:rPr>
          <w:rFonts w:ascii="Times New Roman" w:eastAsia="Times New Roman" w:hAnsi="Times New Roman" w:cs="Times New Roman"/>
          <w:sz w:val="24"/>
          <w:szCs w:val="24"/>
        </w:rPr>
        <w:t xml:space="preserve"> ОРГАНІЗАЦІЙНИЙ РОЗВИТОК ТА КАДРОВИЙ ПОТЕНЦІАЛ КП “БАРР”....... 24 6.1.Штатний розпис та ФОП на 2026 р</w:t>
      </w:r>
      <w:r>
        <w:rPr>
          <w:rFonts w:ascii="Times New Roman" w:eastAsia="Times New Roman" w:hAnsi="Times New Roman" w:cs="Times New Roman"/>
          <w:sz w:val="24"/>
          <w:szCs w:val="24"/>
        </w:rPr>
        <w:t xml:space="preserve">ік ....................................................................................... 24 6.2. Цифрова трансформація процесів ............................................................................................ 24       </w:t>
      </w:r>
      <w:r>
        <w:rPr>
          <w:rFonts w:ascii="Times New Roman" w:eastAsia="Times New Roman" w:hAnsi="Times New Roman" w:cs="Times New Roman"/>
          <w:sz w:val="24"/>
          <w:szCs w:val="24"/>
        </w:rPr>
        <w:br/>
      </w:r>
    </w:p>
    <w:p w:rsidR="00542249" w:rsidRDefault="00016EAC">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РОЗДІЛ 7.</w:t>
      </w:r>
      <w:r>
        <w:rPr>
          <w:rFonts w:ascii="Times New Roman" w:eastAsia="Times New Roman" w:hAnsi="Times New Roman" w:cs="Times New Roman"/>
          <w:sz w:val="24"/>
          <w:szCs w:val="24"/>
        </w:rPr>
        <w:t xml:space="preserve">  ФІНАНСОВА М</w:t>
      </w:r>
      <w:r>
        <w:rPr>
          <w:rFonts w:ascii="Times New Roman" w:eastAsia="Times New Roman" w:hAnsi="Times New Roman" w:cs="Times New Roman"/>
          <w:sz w:val="24"/>
          <w:szCs w:val="24"/>
        </w:rPr>
        <w:t>ОДЕЛЬ ТА ДИВЕРСИФІКАЦІЯ ДОХОДІВ ................................. 25</w:t>
      </w:r>
    </w:p>
    <w:p w:rsidR="00542249" w:rsidRDefault="00542249">
      <w:pPr>
        <w:spacing w:after="0" w:line="240" w:lineRule="auto"/>
        <w:jc w:val="both"/>
        <w:rPr>
          <w:rFonts w:ascii="Times New Roman" w:eastAsia="Times New Roman" w:hAnsi="Times New Roman" w:cs="Times New Roman"/>
          <w:b/>
          <w:bCs/>
          <w:sz w:val="24"/>
          <w:szCs w:val="24"/>
        </w:rPr>
      </w:pPr>
    </w:p>
    <w:p w:rsidR="00542249" w:rsidRDefault="00016EA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РОЗДІЛ 8</w:t>
      </w:r>
      <w:r>
        <w:rPr>
          <w:rFonts w:ascii="Times New Roman" w:eastAsia="Times New Roman" w:hAnsi="Times New Roman" w:cs="Times New Roman"/>
          <w:sz w:val="24"/>
          <w:szCs w:val="24"/>
        </w:rPr>
        <w:t>. РИЗИКИ ТА УПРАВЛІННЯ НИМИ ............................................................................ 28</w:t>
      </w:r>
    </w:p>
    <w:p w:rsidR="00542249" w:rsidRDefault="00016EAC">
      <w:pPr>
        <w:spacing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РОЗДІЛ 9</w:t>
      </w:r>
      <w:r>
        <w:rPr>
          <w:rFonts w:ascii="Times New Roman" w:eastAsia="Times New Roman" w:hAnsi="Times New Roman" w:cs="Times New Roman"/>
          <w:sz w:val="24"/>
          <w:szCs w:val="24"/>
        </w:rPr>
        <w:t>. РОЛЬ БАРР У СИСТЕМІ УПРАВЛІННЯ ГРОМАДОЮ ...................</w:t>
      </w:r>
      <w:r>
        <w:rPr>
          <w:rFonts w:ascii="Times New Roman" w:eastAsia="Times New Roman" w:hAnsi="Times New Roman" w:cs="Times New Roman"/>
          <w:sz w:val="24"/>
          <w:szCs w:val="24"/>
        </w:rPr>
        <w:t xml:space="preserve">........................29 </w:t>
      </w:r>
    </w:p>
    <w:p w:rsidR="00542249" w:rsidRDefault="00016EAC">
      <w:pPr>
        <w:spacing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РОЗДІЛ 10</w:t>
      </w:r>
      <w:r>
        <w:rPr>
          <w:rFonts w:ascii="Times New Roman" w:eastAsia="Times New Roman" w:hAnsi="Times New Roman" w:cs="Times New Roman"/>
          <w:sz w:val="24"/>
          <w:szCs w:val="24"/>
        </w:rPr>
        <w:t>.</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4"/>
          <w:szCs w:val="24"/>
        </w:rPr>
        <w:t>ОЧІКУВАНІ РЕЗУЛЬТАТИ ТА КЛЮЧОВІ ІНДИКАТОРИ ЕФЕКТИВНОСТІ (KPI) ...........................................................................................................................................................</w:t>
      </w:r>
      <w:r>
        <w:rPr>
          <w:rFonts w:ascii="Times New Roman" w:eastAsia="Times New Roman" w:hAnsi="Times New Roman" w:cs="Times New Roman"/>
          <w:sz w:val="24"/>
          <w:szCs w:val="24"/>
        </w:rPr>
        <w:t>... 31</w:t>
      </w:r>
    </w:p>
    <w:p w:rsidR="00542249" w:rsidRDefault="00016EAC">
      <w:pPr>
        <w:spacing w:after="28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Висновки</w:t>
      </w:r>
      <w:r>
        <w:rPr>
          <w:rFonts w:ascii="Times New Roman" w:eastAsia="Times New Roman" w:hAnsi="Times New Roman" w:cs="Times New Roman"/>
          <w:sz w:val="24"/>
          <w:szCs w:val="24"/>
        </w:rPr>
        <w:t xml:space="preserve"> ........................................................................................................................................... 32</w:t>
      </w:r>
    </w:p>
    <w:p w:rsidR="00542249" w:rsidRDefault="00542249">
      <w:pPr>
        <w:spacing w:after="280" w:line="240" w:lineRule="auto"/>
        <w:ind w:firstLine="720"/>
        <w:jc w:val="both"/>
        <w:rPr>
          <w:rFonts w:ascii="Times New Roman" w:eastAsia="Times New Roman" w:hAnsi="Times New Roman" w:cs="Times New Roman"/>
          <w:sz w:val="24"/>
          <w:szCs w:val="24"/>
        </w:rPr>
      </w:pPr>
    </w:p>
    <w:p w:rsidR="00542249" w:rsidRDefault="00542249">
      <w:pPr>
        <w:spacing w:after="280" w:line="240" w:lineRule="auto"/>
        <w:ind w:firstLine="720"/>
        <w:jc w:val="both"/>
        <w:rPr>
          <w:rFonts w:ascii="Times New Roman" w:eastAsia="Times New Roman" w:hAnsi="Times New Roman" w:cs="Times New Roman"/>
          <w:sz w:val="28"/>
          <w:szCs w:val="28"/>
        </w:rPr>
      </w:pPr>
    </w:p>
    <w:p w:rsidR="00542249" w:rsidRDefault="00542249">
      <w:pPr>
        <w:spacing w:after="280" w:line="240" w:lineRule="auto"/>
        <w:jc w:val="both"/>
        <w:rPr>
          <w:rFonts w:ascii="Times New Roman" w:eastAsia="Times New Roman" w:hAnsi="Times New Roman" w:cs="Times New Roman"/>
          <w:sz w:val="28"/>
          <w:szCs w:val="28"/>
        </w:rPr>
      </w:pPr>
    </w:p>
    <w:p w:rsidR="00542249" w:rsidRDefault="00542249">
      <w:pPr>
        <w:spacing w:after="280" w:line="240" w:lineRule="auto"/>
        <w:jc w:val="both"/>
        <w:rPr>
          <w:rFonts w:ascii="Times New Roman" w:eastAsia="Times New Roman" w:hAnsi="Times New Roman" w:cs="Times New Roman"/>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Вступ</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Період 2026–2028 років визначається як критичний етап трансформації КП «Бучанська Агенція регіональног</w:t>
      </w:r>
      <w:r>
        <w:rPr>
          <w:rFonts w:ascii="Times New Roman" w:eastAsia="Times New Roman" w:hAnsi="Times New Roman" w:cs="Times New Roman"/>
          <w:sz w:val="28"/>
          <w:szCs w:val="28"/>
        </w:rPr>
        <w:t>о розвитку». Після завершення фази екстреного відновлення та стабілізації критичної інфраструктури, громада переходить до реалізації довгострокової економічної місії, яку можна окреслити як: “Буча — місто відновлення, економічного зростання та інвестиційно</w:t>
      </w:r>
      <w:r>
        <w:rPr>
          <w:rFonts w:ascii="Times New Roman" w:eastAsia="Times New Roman" w:hAnsi="Times New Roman" w:cs="Times New Roman"/>
          <w:sz w:val="28"/>
          <w:szCs w:val="28"/>
        </w:rPr>
        <w:t>ї привабливості”. Ключовим інструментом цієї трансформації виступає Комунальне підприємство «Бучанська агенція регіонального розвитку» (далі – КП  "БАРР"» або Агенція), яке за рішенням Бучанської міської ради № 3534-44-VIII було визнано правонаступником ко</w:t>
      </w:r>
      <w:r>
        <w:rPr>
          <w:rFonts w:ascii="Times New Roman" w:eastAsia="Times New Roman" w:hAnsi="Times New Roman" w:cs="Times New Roman"/>
          <w:sz w:val="28"/>
          <w:szCs w:val="28"/>
        </w:rPr>
        <w:t>мунальної установи та наділено широкими повноваженнями у сфері девелопменту, інвестиційного супроводу та управління економічними зонами. Цей стратегічний план окреслює перехід Агенції від сервісної моделі підтримки муніципалітету до моделі активного операт</w:t>
      </w:r>
      <w:r>
        <w:rPr>
          <w:rFonts w:ascii="Times New Roman" w:eastAsia="Times New Roman" w:hAnsi="Times New Roman" w:cs="Times New Roman"/>
          <w:sz w:val="28"/>
          <w:szCs w:val="28"/>
        </w:rPr>
        <w:t>ора розвитку, що включає пряму реалізацію індустріальних парків, фасилітацію масштабних іноземних інвестицій та створення інноваційних публічних просторів.</w:t>
      </w:r>
    </w:p>
    <w:p w:rsidR="00542249" w:rsidRDefault="00016EAC">
      <w:pPr>
        <w:spacing w:after="280" w:line="240" w:lineRule="auto"/>
        <w:ind w:firstLine="720"/>
        <w:jc w:val="both"/>
        <w:rPr>
          <w:rFonts w:ascii="Times New Roman" w:eastAsia="Times New Roman" w:hAnsi="Times New Roman" w:cs="Times New Roman"/>
          <w:b/>
          <w:bCs/>
          <w:sz w:val="28"/>
          <w:szCs w:val="28"/>
        </w:rPr>
      </w:pPr>
      <w:r>
        <w:br w:type="page"/>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РОЗДІЛ 1. ЗАГАЛЬНА ІНФОРМАЦІЯ ПРО СУБ’ЄКТ ГОСПОДАРЮВАННЯ</w:t>
      </w:r>
    </w:p>
    <w:p w:rsidR="00542249" w:rsidRDefault="00016EAC">
      <w:pPr>
        <w:spacing w:after="280" w:line="240" w:lineRule="auto"/>
        <w:ind w:firstLine="720"/>
        <w:jc w:val="both"/>
        <w:rPr>
          <w:rFonts w:ascii="Times New Roman" w:eastAsia="Times New Roman" w:hAnsi="Times New Roman" w:cs="Times New Roman"/>
          <w:sz w:val="28"/>
          <w:szCs w:val="28"/>
          <w:vertAlign w:val="superscript"/>
        </w:rPr>
      </w:pPr>
      <w:r>
        <w:rPr>
          <w:rFonts w:ascii="Times New Roman" w:eastAsia="Times New Roman" w:hAnsi="Times New Roman" w:cs="Times New Roman"/>
          <w:sz w:val="28"/>
          <w:szCs w:val="28"/>
        </w:rPr>
        <w:t xml:space="preserve">КП «Бучанська агенція </w:t>
      </w:r>
      <w:r>
        <w:rPr>
          <w:rFonts w:ascii="Times New Roman" w:eastAsia="Times New Roman" w:hAnsi="Times New Roman" w:cs="Times New Roman"/>
          <w:sz w:val="28"/>
          <w:szCs w:val="28"/>
        </w:rPr>
        <w:t>регіонального розвитку» є юридичною особою публічного права, заснованою на власності Бучанської міської територіальної громади в особі Бучанської міської ради. Організаційно-правова форма комунального підприємства дозволяє Агенції поєднувати виконання муні</w:t>
      </w:r>
      <w:r>
        <w:rPr>
          <w:rFonts w:ascii="Times New Roman" w:eastAsia="Times New Roman" w:hAnsi="Times New Roman" w:cs="Times New Roman"/>
          <w:sz w:val="28"/>
          <w:szCs w:val="28"/>
        </w:rPr>
        <w:t>ципальних завдань із господарською діяльністю, що є необхідним для забезпечення фінансової стійкості та операційної незалежності.</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Комунальне підприємство «Бучанська агенція регіонального розвитку» (далі –«Підприємство») є комунальним підприємством, яке зас</w:t>
      </w:r>
      <w:r>
        <w:rPr>
          <w:rFonts w:ascii="Times New Roman" w:eastAsia="Times New Roman" w:hAnsi="Times New Roman" w:cs="Times New Roman"/>
          <w:sz w:val="28"/>
          <w:szCs w:val="28"/>
        </w:rPr>
        <w:t>новано на власності Бучанської міської територіальної громади. Засновником Підприємства є Бучанська міська  територіальна громада в особі Бучанської міської ради.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Організаційно-правова форма – комунальне підприємство, яке діє на підставі Статуту, затвердже</w:t>
      </w:r>
      <w:r>
        <w:rPr>
          <w:rFonts w:ascii="Times New Roman" w:eastAsia="Times New Roman" w:hAnsi="Times New Roman" w:cs="Times New Roman"/>
          <w:sz w:val="28"/>
          <w:szCs w:val="28"/>
        </w:rPr>
        <w:t>ного рішенням сесії Бучанської міської ради.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Форма власності – комунальна.</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Розмір у статутному капіталі – 100% Бучанська міська рада. </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Місцезнаходження підприємства/фактична: 08292, Україна, Київська область, м. Буча, вул. Енергетиків, буд. 12.</w:t>
      </w:r>
    </w:p>
    <w:p w:rsidR="00542249" w:rsidRDefault="00016EAC">
      <w:pPr>
        <w:tabs>
          <w:tab w:val="left" w:pos="851"/>
        </w:tabs>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Юридична ад</w:t>
      </w:r>
      <w:r>
        <w:rPr>
          <w:rFonts w:ascii="Times New Roman" w:eastAsia="Times New Roman" w:hAnsi="Times New Roman" w:cs="Times New Roman"/>
          <w:sz w:val="28"/>
          <w:szCs w:val="28"/>
        </w:rPr>
        <w:t xml:space="preserve">реса: 08292, Київська область, Бучанський р-н, м. Буча, вул. Енергетиків 2. </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Повне найменування – Комунальне підприємство «Бучанська агенція регіонального розвитку» Бучанської міської ради.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Скорочена назва – КП  "БАРР"»</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Основні види економічної діяльності:</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84.13 регулювання та сприяння ефективному веденню економічної діяльності (основний):</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35.13 Розподілення електроенергії;</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58.12 Видання довідників і каталогів;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59.11 Виробництво кіно- та відеофільмів, телевізійних програм;</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63.11 Оброблення даних, розміщення</w:t>
      </w:r>
      <w:r>
        <w:rPr>
          <w:rFonts w:ascii="Times New Roman" w:eastAsia="Times New Roman" w:hAnsi="Times New Roman" w:cs="Times New Roman"/>
          <w:sz w:val="28"/>
          <w:szCs w:val="28"/>
        </w:rPr>
        <w:t xml:space="preserve"> інформації на веб-вузлах і пов’язана з ними діяльність;</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63.12 Веб-портали;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63.99 Надання інших інформаційних послуг н. в .і. у.;</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68.20 Надання в оренду й експлуатацію власного чи орендованого нерухомого майна;</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68.31 Агентства нерухомості;</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69.10 </w:t>
      </w:r>
      <w:r>
        <w:rPr>
          <w:rFonts w:ascii="Times New Roman" w:eastAsia="Times New Roman" w:hAnsi="Times New Roman" w:cs="Times New Roman"/>
          <w:sz w:val="28"/>
          <w:szCs w:val="28"/>
        </w:rPr>
        <w:t>Діяльність у сфері права;</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70.21 Діяльність у сфері зв’язків  із громадськістю;</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70.22 Консультування з питань комерційної діяльності й керування;</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72.19 Дослідження й експериментальні розробки у сфері суспільних і гуманітарних наук;</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73.11 Рекламні агентства;</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73.12 Посередництво в розміщенні реклами в засобах масової інформації;</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73.20 Дослідження кон’юнктури ринку та виявлення громадської думки;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74.20 Діяльність у сфері фотографії;</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74.30 Надання послуг перекладу;</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82.11 Надання комбінованих офісних </w:t>
      </w:r>
      <w:r>
        <w:rPr>
          <w:rFonts w:ascii="Times New Roman" w:eastAsia="Times New Roman" w:hAnsi="Times New Roman" w:cs="Times New Roman"/>
          <w:sz w:val="28"/>
          <w:szCs w:val="28"/>
        </w:rPr>
        <w:t>адміністративних послуг;</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82.30 Організування конгресів і торгівельних виставок;</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84.21 Міжнародна діяльність;</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85.59 Та інші види освіти, н.в.і.у.;</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62.01 Комп’ютерне програмування;</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62.02 Консультування з питань інформатизації;</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62.03 Діяльність із керування к</w:t>
      </w:r>
      <w:r>
        <w:rPr>
          <w:rFonts w:ascii="Times New Roman" w:eastAsia="Times New Roman" w:hAnsi="Times New Roman" w:cs="Times New Roman"/>
          <w:sz w:val="28"/>
          <w:szCs w:val="28"/>
        </w:rPr>
        <w:t>омп’ютерним устаткованням;</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62.09 Інша діяльність у сфері інформаційних технологій і комп’ютерних систем.</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Підприємство створене з метою сприяння сталому розвитку Бучанської міської територіальної громади через участь у формуванні та реалізації стратегії роз</w:t>
      </w:r>
      <w:r>
        <w:rPr>
          <w:rFonts w:ascii="Times New Roman" w:eastAsia="Times New Roman" w:hAnsi="Times New Roman" w:cs="Times New Roman"/>
          <w:sz w:val="28"/>
          <w:szCs w:val="28"/>
        </w:rPr>
        <w:t>витку громади шляхом надання аналітичної, дослідницької, творчої підтримки у процесі її реалізації,  активної співпраці з органами місцевого самоврядування, державної влади, господарюючими суб'єктами, бізнес-асоціаціями, організаціями громадянського суспіл</w:t>
      </w:r>
      <w:r>
        <w:rPr>
          <w:rFonts w:ascii="Times New Roman" w:eastAsia="Times New Roman" w:hAnsi="Times New Roman" w:cs="Times New Roman"/>
          <w:sz w:val="28"/>
          <w:szCs w:val="28"/>
        </w:rPr>
        <w:t xml:space="preserve">ьства, благодійними організаціями, міжнародними </w:t>
      </w:r>
      <w:r>
        <w:rPr>
          <w:rFonts w:ascii="Times New Roman" w:eastAsia="Times New Roman" w:hAnsi="Times New Roman" w:cs="Times New Roman"/>
          <w:sz w:val="28"/>
          <w:szCs w:val="28"/>
        </w:rPr>
        <w:lastRenderedPageBreak/>
        <w:t>фінансовими організаціями, програмами технічної допомоги тощо, в тому числі з метою залучення експертного досвіду, знань і коштів для реалізації проектів розвитку громади.</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br w:type="page"/>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РОЗДІЛ 2. АНАЛІЗ ВНУТРІШНЬОГО ТА </w:t>
      </w:r>
      <w:r>
        <w:rPr>
          <w:rFonts w:ascii="Times New Roman" w:eastAsia="Times New Roman" w:hAnsi="Times New Roman" w:cs="Times New Roman"/>
          <w:b/>
          <w:bCs/>
          <w:sz w:val="28"/>
          <w:szCs w:val="28"/>
        </w:rPr>
        <w:t>ЗОВНІШНЬОГО СЕРЕДОВИЩА</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Ефективність стратегії на 2026–2028 роки залежить від розуміння макроекономічного контексту України та внутрішнього потенціалу Бучанської громади. Аналіз проводиться з урахуванням умов воєнного стану та процесів євроінтеграції, що ви</w:t>
      </w:r>
      <w:r>
        <w:rPr>
          <w:rFonts w:ascii="Times New Roman" w:eastAsia="Times New Roman" w:hAnsi="Times New Roman" w:cs="Times New Roman"/>
          <w:sz w:val="28"/>
          <w:szCs w:val="28"/>
        </w:rPr>
        <w:t>магають від муніципальних структур високої прозорості та відповідності стандартам ESG (Environmental, Social, and Governance).</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2.1. Аналіз зовнішнього середовища  </w:t>
      </w:r>
    </w:p>
    <w:p w:rsidR="00542249" w:rsidRDefault="00016EAC">
      <w:pPr>
        <w:numPr>
          <w:ilvl w:val="0"/>
          <w:numId w:val="4"/>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Політичні фактори характеризуються курсом України на членство в Європейському Союзі, що від</w:t>
      </w:r>
      <w:r>
        <w:rPr>
          <w:rFonts w:ascii="Times New Roman" w:eastAsia="Times New Roman" w:hAnsi="Times New Roman" w:cs="Times New Roman"/>
          <w:sz w:val="28"/>
          <w:szCs w:val="28"/>
        </w:rPr>
        <w:t>криває доступ до структурних фондів та вимагає від КП "БАРР" підготовки проєктів за методологією ЄС. Водночас, безпекова ситуація залишається визначальним чинником, що потребує інтеграції заходів цивільного захисту в усі інвестиційні проєкти. На муніципаль</w:t>
      </w:r>
      <w:r>
        <w:rPr>
          <w:rFonts w:ascii="Times New Roman" w:eastAsia="Times New Roman" w:hAnsi="Times New Roman" w:cs="Times New Roman"/>
          <w:sz w:val="28"/>
          <w:szCs w:val="28"/>
        </w:rPr>
        <w:t>ному рівні спостерігається стабільність та підтримка ініціатив Агенції з боку Бучанської міської ради, що підтверджується рішеннями про створення індустріального парку «Бабинці», ініціативи по створенню реабілітаційних просторів на території Мироцьких озер</w:t>
      </w:r>
      <w:r>
        <w:rPr>
          <w:rFonts w:ascii="Times New Roman" w:eastAsia="Times New Roman" w:hAnsi="Times New Roman" w:cs="Times New Roman"/>
          <w:sz w:val="28"/>
          <w:szCs w:val="28"/>
        </w:rPr>
        <w:t xml:space="preserve">  та участь в експериментальних проєктах соціального житла.</w:t>
      </w:r>
    </w:p>
    <w:p w:rsidR="00542249" w:rsidRDefault="00016EAC">
      <w:pPr>
        <w:numPr>
          <w:ilvl w:val="0"/>
          <w:numId w:val="4"/>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Економічне середовище демонструє ознаки адаптації до воєнних умов. Бучанська громада за 9 місяців 2025 року зафіксувала надходження до бюджету  в сумі 767,3 млн грн, що на 26,9% більше за аналогіч</w:t>
      </w:r>
      <w:r>
        <w:rPr>
          <w:rFonts w:ascii="Times New Roman" w:eastAsia="Times New Roman" w:hAnsi="Times New Roman" w:cs="Times New Roman"/>
          <w:sz w:val="28"/>
          <w:szCs w:val="28"/>
        </w:rPr>
        <w:t>ний період минулого року. Це свідчить про відновлення ділової активності. Проте змушують КП "БАРР" орієнтуватися на залучення прямих іноземних інвестицій через проєкти Bucha Techno Garden та розвитку інших територій пріоритетного розвитку як промислового к</w:t>
      </w:r>
      <w:r>
        <w:rPr>
          <w:rFonts w:ascii="Times New Roman" w:eastAsia="Times New Roman" w:hAnsi="Times New Roman" w:cs="Times New Roman"/>
          <w:sz w:val="28"/>
          <w:szCs w:val="28"/>
        </w:rPr>
        <w:t>ластеру громади.</w:t>
      </w:r>
    </w:p>
    <w:p w:rsidR="00542249" w:rsidRDefault="00016EAC">
      <w:pPr>
        <w:numPr>
          <w:ilvl w:val="0"/>
          <w:numId w:val="4"/>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Соціально-демографічні фактори вказують на зростання чисельності зареєстрованого населення до 68 705 осіб, з яких 11 122 — внутрішньо переміщені особи. Цей приплив формує як додаткове навантаження на інфраструктуру, так і потенціал для рин</w:t>
      </w:r>
      <w:r>
        <w:rPr>
          <w:rFonts w:ascii="Times New Roman" w:eastAsia="Times New Roman" w:hAnsi="Times New Roman" w:cs="Times New Roman"/>
          <w:sz w:val="28"/>
          <w:szCs w:val="28"/>
        </w:rPr>
        <w:t>ку праці. Агенція має враховувати потребу у створенні робочих місць саме для ВПО та ветеранів, що є основою проєкту «Мироцькі озера» та індустріального парку «Бабинці».</w:t>
      </w:r>
    </w:p>
    <w:p w:rsidR="00542249" w:rsidRDefault="00016EAC">
      <w:pPr>
        <w:numPr>
          <w:ilvl w:val="0"/>
          <w:numId w:val="4"/>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Технологічний розвиток у громаді стимулюється програмою «Smart-Bucha», яка передбачає в</w:t>
      </w:r>
      <w:r>
        <w:rPr>
          <w:rFonts w:ascii="Times New Roman" w:eastAsia="Times New Roman" w:hAnsi="Times New Roman" w:cs="Times New Roman"/>
          <w:sz w:val="28"/>
          <w:szCs w:val="28"/>
        </w:rPr>
        <w:t>провадження CRM-систем, ГІС-карт, інтерактивних інвестиційних карт, оновлення сайту громади та цифровізацію муніципальних послуг. КП "БАРР" виступає драйвером цих змін, використовуючи екосистему DREAM для прозорого управління портфелем із 33 проєктів відно</w:t>
      </w:r>
      <w:r>
        <w:rPr>
          <w:rFonts w:ascii="Times New Roman" w:eastAsia="Times New Roman" w:hAnsi="Times New Roman" w:cs="Times New Roman"/>
          <w:sz w:val="28"/>
          <w:szCs w:val="28"/>
        </w:rPr>
        <w:t>влення.</w:t>
      </w:r>
    </w:p>
    <w:tbl>
      <w:tblPr>
        <w:tblStyle w:val="af2"/>
        <w:tblW w:w="10204" w:type="dxa"/>
        <w:tblInd w:w="-150" w:type="dxa"/>
        <w:tblLayout w:type="fixed"/>
        <w:tblLook w:val="0400" w:firstRow="0" w:lastRow="0" w:firstColumn="0" w:lastColumn="0" w:noHBand="0" w:noVBand="1"/>
      </w:tblPr>
      <w:tblGrid>
        <w:gridCol w:w="2060"/>
        <w:gridCol w:w="8144"/>
      </w:tblGrid>
      <w:tr w:rsidR="00542249">
        <w:trPr>
          <w:trHeight w:val="330"/>
          <w:tblHeader/>
        </w:trPr>
        <w:tc>
          <w:tcPr>
            <w:tcW w:w="206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13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Фактор</w:t>
            </w:r>
          </w:p>
        </w:tc>
        <w:tc>
          <w:tcPr>
            <w:tcW w:w="8144"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55"/>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Вплив на стратегію КП "БАРР"</w:t>
            </w:r>
          </w:p>
        </w:tc>
      </w:tr>
      <w:tr w:rsidR="00542249">
        <w:trPr>
          <w:trHeight w:val="650"/>
        </w:trPr>
        <w:tc>
          <w:tcPr>
            <w:tcW w:w="206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13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Політичний</w:t>
            </w:r>
          </w:p>
        </w:tc>
        <w:tc>
          <w:tcPr>
            <w:tcW w:w="8144"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Пріоритетність проєктів, що відповідають критеріям членства в ЄС; розвиток транскордонного співробітництва.</w:t>
            </w:r>
          </w:p>
        </w:tc>
      </w:tr>
      <w:tr w:rsidR="00542249">
        <w:trPr>
          <w:trHeight w:val="650"/>
        </w:trPr>
        <w:tc>
          <w:tcPr>
            <w:tcW w:w="206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13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lastRenderedPageBreak/>
              <w:t>Економічний</w:t>
            </w:r>
          </w:p>
        </w:tc>
        <w:tc>
          <w:tcPr>
            <w:tcW w:w="8144"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Необхідність диверсифікації джерел фінансування (гранти, інвестиції, </w:t>
            </w:r>
            <w:r>
              <w:rPr>
                <w:rFonts w:ascii="Times New Roman" w:eastAsia="Times New Roman" w:hAnsi="Times New Roman" w:cs="Times New Roman"/>
                <w:sz w:val="28"/>
                <w:szCs w:val="28"/>
              </w:rPr>
              <w:t>власні доходи); підтримка МСП.</w:t>
            </w:r>
          </w:p>
        </w:tc>
      </w:tr>
      <w:tr w:rsidR="00542249">
        <w:trPr>
          <w:trHeight w:val="661"/>
        </w:trPr>
        <w:tc>
          <w:tcPr>
            <w:tcW w:w="206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13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Соціальний</w:t>
            </w:r>
          </w:p>
        </w:tc>
        <w:tc>
          <w:tcPr>
            <w:tcW w:w="8144"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Запит на інклюзивність та створення «безбар’єрного простору» у публічних просторах міста та проєкті “Мироцькі озера”.</w:t>
            </w:r>
          </w:p>
        </w:tc>
      </w:tr>
      <w:tr w:rsidR="00542249">
        <w:trPr>
          <w:trHeight w:val="650"/>
        </w:trPr>
        <w:tc>
          <w:tcPr>
            <w:tcW w:w="206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13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Технологічний</w:t>
            </w:r>
          </w:p>
        </w:tc>
        <w:tc>
          <w:tcPr>
            <w:tcW w:w="8144"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Впровадження сучасних управлінських технологій; використання </w:t>
            </w:r>
            <w:r>
              <w:rPr>
                <w:rFonts w:ascii="Times New Roman" w:eastAsia="Times New Roman" w:hAnsi="Times New Roman" w:cs="Times New Roman"/>
                <w:sz w:val="28"/>
                <w:szCs w:val="28"/>
              </w:rPr>
              <w:t>відновлювальної енергії.</w:t>
            </w:r>
          </w:p>
        </w:tc>
      </w:tr>
      <w:tr w:rsidR="00542249">
        <w:trPr>
          <w:trHeight w:val="661"/>
        </w:trPr>
        <w:tc>
          <w:tcPr>
            <w:tcW w:w="206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13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Екологічний</w:t>
            </w:r>
          </w:p>
        </w:tc>
        <w:tc>
          <w:tcPr>
            <w:tcW w:w="8144"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Дотримання зобов’язань «Угоди мерів» щодо скорочення викидів CO2 на 30% до 2030 року.</w:t>
            </w:r>
          </w:p>
        </w:tc>
      </w:tr>
      <w:tr w:rsidR="00542249">
        <w:trPr>
          <w:trHeight w:val="661"/>
        </w:trPr>
        <w:tc>
          <w:tcPr>
            <w:tcW w:w="206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13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Правовий</w:t>
            </w:r>
          </w:p>
        </w:tc>
        <w:tc>
          <w:tcPr>
            <w:tcW w:w="8144"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5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Робота у правовому полі законів про індустріальні парки та сприяння розвитку державно-приватного партнерства.</w:t>
            </w:r>
          </w:p>
        </w:tc>
      </w:tr>
    </w:tbl>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2.2. </w:t>
      </w:r>
      <w:r>
        <w:rPr>
          <w:rFonts w:ascii="Times New Roman" w:eastAsia="Times New Roman" w:hAnsi="Times New Roman" w:cs="Times New Roman"/>
          <w:b/>
          <w:bCs/>
          <w:sz w:val="28"/>
          <w:szCs w:val="28"/>
        </w:rPr>
        <w:t>Аналіз внутрішнього середовища</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Ринок та ключові тенденції </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Мікросередовище КП "БАРР" формується на перетині публічного управління, проєктної діяльності, інвестиційного середовища та відновлювальної економіки України. </w:t>
      </w:r>
    </w:p>
    <w:p w:rsidR="00542249" w:rsidRDefault="00016EAC">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Основними тенденціями є:</w:t>
      </w:r>
    </w:p>
    <w:p w:rsidR="00542249" w:rsidRDefault="00016EAC">
      <w:pPr>
        <w:numPr>
          <w:ilvl w:val="0"/>
          <w:numId w:val="7"/>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підвищена рол</w:t>
      </w:r>
      <w:r>
        <w:rPr>
          <w:rFonts w:ascii="Times New Roman" w:eastAsia="Times New Roman" w:hAnsi="Times New Roman" w:cs="Times New Roman"/>
          <w:sz w:val="28"/>
          <w:szCs w:val="28"/>
        </w:rPr>
        <w:t>ь агенцій розвитку як єдиного вікна для інвесторів, донорів та міжнародних партнерів;</w:t>
      </w:r>
    </w:p>
    <w:p w:rsidR="00542249" w:rsidRDefault="00016EAC">
      <w:pPr>
        <w:numPr>
          <w:ilvl w:val="0"/>
          <w:numId w:val="7"/>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фокус держави та донорів на індустріальних парках, кластерах та відбудові;</w:t>
      </w:r>
    </w:p>
    <w:p w:rsidR="00542249" w:rsidRDefault="00016EAC">
      <w:pPr>
        <w:numPr>
          <w:ilvl w:val="0"/>
          <w:numId w:val="7"/>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перехід від декларативних стратегій до проєктного підходу з вимірюваними результатами;</w:t>
      </w:r>
    </w:p>
    <w:p w:rsidR="00542249" w:rsidRDefault="00016EAC">
      <w:pPr>
        <w:numPr>
          <w:ilvl w:val="0"/>
          <w:numId w:val="7"/>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зростанн</w:t>
      </w:r>
      <w:r>
        <w:rPr>
          <w:rFonts w:ascii="Times New Roman" w:eastAsia="Times New Roman" w:hAnsi="Times New Roman" w:cs="Times New Roman"/>
          <w:sz w:val="28"/>
          <w:szCs w:val="28"/>
        </w:rPr>
        <w:t>я конкуренції між громадами за інвестора, кадри та грантові ресурси.</w:t>
      </w:r>
    </w:p>
    <w:p w:rsidR="00542249" w:rsidRDefault="00016EAC">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Для Бучанської громади ринок характеризується близькістю до Києва, логістичною привабливістю та високими очікуваннями інвесторів до швидкості рішень і якості супроводу.</w:t>
      </w:r>
    </w:p>
    <w:p w:rsidR="00542249" w:rsidRDefault="00542249">
      <w:pPr>
        <w:spacing w:after="0" w:line="240" w:lineRule="auto"/>
        <w:ind w:firstLine="720"/>
        <w:jc w:val="both"/>
        <w:rPr>
          <w:rFonts w:ascii="Times New Roman" w:eastAsia="Times New Roman" w:hAnsi="Times New Roman" w:cs="Times New Roman"/>
          <w:b/>
          <w:bCs/>
          <w:sz w:val="28"/>
          <w:szCs w:val="28"/>
        </w:rPr>
      </w:pPr>
    </w:p>
    <w:p w:rsidR="00542249" w:rsidRDefault="00016EAC">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Конкуренти</w:t>
      </w:r>
    </w:p>
    <w:p w:rsidR="00542249" w:rsidRDefault="00016EAC">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Прями</w:t>
      </w:r>
      <w:r>
        <w:rPr>
          <w:rFonts w:ascii="Times New Roman" w:eastAsia="Times New Roman" w:hAnsi="Times New Roman" w:cs="Times New Roman"/>
          <w:sz w:val="28"/>
          <w:szCs w:val="28"/>
        </w:rPr>
        <w:t>х комерційних конкурентів КП "БАРР" не має, однак існує інституційна конкуренція:</w:t>
      </w:r>
    </w:p>
    <w:p w:rsidR="00542249" w:rsidRDefault="00016EAC">
      <w:pPr>
        <w:numPr>
          <w:ilvl w:val="0"/>
          <w:numId w:val="34"/>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інші агенції регіонального розвитку;</w:t>
      </w:r>
    </w:p>
    <w:p w:rsidR="00542249" w:rsidRDefault="00016EAC">
      <w:pPr>
        <w:numPr>
          <w:ilvl w:val="0"/>
          <w:numId w:val="34"/>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окремі громади, що створили власні індустріальні парки або інвестофіси;</w:t>
      </w:r>
    </w:p>
    <w:p w:rsidR="00542249" w:rsidRDefault="00016EAC">
      <w:pPr>
        <w:numPr>
          <w:ilvl w:val="0"/>
          <w:numId w:val="34"/>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приватні девелопери та консалтингові компанії, які пропонують інв</w:t>
      </w:r>
      <w:r>
        <w:rPr>
          <w:rFonts w:ascii="Times New Roman" w:eastAsia="Times New Roman" w:hAnsi="Times New Roman" w:cs="Times New Roman"/>
          <w:sz w:val="28"/>
          <w:szCs w:val="28"/>
        </w:rPr>
        <w:t>есторам «під ключ» комерційні майданчики;</w:t>
      </w:r>
    </w:p>
    <w:p w:rsidR="00542249" w:rsidRDefault="00016EAC">
      <w:pPr>
        <w:numPr>
          <w:ilvl w:val="0"/>
          <w:numId w:val="34"/>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обласні та державні структури, що частково дублюють функції залучення інвестицій.</w:t>
      </w:r>
    </w:p>
    <w:p w:rsidR="00542249" w:rsidRDefault="00016EAC">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Конкуренція відбувається не за прибуток, а за довіру інвесторів, донорів та доступ до ресурсів.</w:t>
      </w:r>
    </w:p>
    <w:p w:rsidR="00542249" w:rsidRDefault="00542249">
      <w:pPr>
        <w:spacing w:after="0" w:line="240" w:lineRule="auto"/>
        <w:ind w:firstLine="720"/>
        <w:jc w:val="both"/>
        <w:rPr>
          <w:rFonts w:ascii="Times New Roman" w:eastAsia="Times New Roman" w:hAnsi="Times New Roman" w:cs="Times New Roman"/>
          <w:sz w:val="28"/>
          <w:szCs w:val="28"/>
        </w:rPr>
      </w:pPr>
    </w:p>
    <w:p w:rsidR="00542249" w:rsidRDefault="00016EAC">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Споживачі (цільові аудиторії)</w:t>
      </w:r>
    </w:p>
    <w:p w:rsidR="00542249" w:rsidRDefault="00016EAC">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Основ</w:t>
      </w:r>
      <w:r>
        <w:rPr>
          <w:rFonts w:ascii="Times New Roman" w:eastAsia="Times New Roman" w:hAnsi="Times New Roman" w:cs="Times New Roman"/>
          <w:sz w:val="28"/>
          <w:szCs w:val="28"/>
        </w:rPr>
        <w:t>ними споживачами послуг КП "БАРР" є:</w:t>
      </w:r>
    </w:p>
    <w:p w:rsidR="00542249" w:rsidRDefault="00016EAC">
      <w:pPr>
        <w:numPr>
          <w:ilvl w:val="0"/>
          <w:numId w:val="6"/>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інвестори та релокований бізнес (український і міжнародний); міжнародні донори та фінансові інституції;</w:t>
      </w:r>
    </w:p>
    <w:p w:rsidR="00542249" w:rsidRDefault="00016EAC">
      <w:pPr>
        <w:numPr>
          <w:ilvl w:val="0"/>
          <w:numId w:val="4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Бучанська міська рада та виконавчі органи як замовники проєктної реалізації;</w:t>
      </w:r>
    </w:p>
    <w:p w:rsidR="00542249" w:rsidRDefault="00016EAC">
      <w:pPr>
        <w:numPr>
          <w:ilvl w:val="0"/>
          <w:numId w:val="4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мешканці громади, які є непрямими бенефіціарами через робочі місця, інфраструктуру та соціальні проєкти.</w:t>
      </w:r>
    </w:p>
    <w:p w:rsidR="00542249" w:rsidRDefault="00542249">
      <w:pPr>
        <w:spacing w:after="0" w:line="240" w:lineRule="auto"/>
        <w:ind w:firstLine="720"/>
        <w:jc w:val="both"/>
        <w:rPr>
          <w:rFonts w:ascii="Times New Roman" w:eastAsia="Times New Roman" w:hAnsi="Times New Roman" w:cs="Times New Roman"/>
          <w:b/>
          <w:bCs/>
          <w:sz w:val="28"/>
          <w:szCs w:val="28"/>
        </w:rPr>
      </w:pPr>
    </w:p>
    <w:p w:rsidR="00542249" w:rsidRDefault="00016EAC">
      <w:pPr>
        <w:spacing w:after="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Партнери та посередники</w:t>
      </w:r>
    </w:p>
    <w:p w:rsidR="00542249" w:rsidRDefault="00016EAC">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Ефективність КП "БАРР" напряму залежить від мережі партнерств:</w:t>
      </w:r>
    </w:p>
    <w:p w:rsidR="00542249" w:rsidRDefault="00016EAC">
      <w:pPr>
        <w:numPr>
          <w:ilvl w:val="0"/>
          <w:numId w:val="4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органи місцевого та державного управління ;</w:t>
      </w:r>
    </w:p>
    <w:p w:rsidR="00542249" w:rsidRDefault="00016EAC">
      <w:pPr>
        <w:numPr>
          <w:ilvl w:val="0"/>
          <w:numId w:val="4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міжнародні донорськ</w:t>
      </w:r>
      <w:r>
        <w:rPr>
          <w:rFonts w:ascii="Times New Roman" w:eastAsia="Times New Roman" w:hAnsi="Times New Roman" w:cs="Times New Roman"/>
          <w:sz w:val="28"/>
          <w:szCs w:val="28"/>
        </w:rPr>
        <w:t>і та фінансові організації;</w:t>
      </w:r>
    </w:p>
    <w:p w:rsidR="00542249" w:rsidRDefault="00016EAC">
      <w:pPr>
        <w:numPr>
          <w:ilvl w:val="0"/>
          <w:numId w:val="4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профільні агенції розвитку інших регіонів (обмін досвідом, спільні проєкти);</w:t>
      </w:r>
    </w:p>
    <w:p w:rsidR="00542249" w:rsidRDefault="00016EAC">
      <w:pPr>
        <w:numPr>
          <w:ilvl w:val="0"/>
          <w:numId w:val="4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приватні девелопери, інвестори, керуючі компанії;</w:t>
      </w:r>
    </w:p>
    <w:p w:rsidR="00542249" w:rsidRDefault="00016EAC">
      <w:pPr>
        <w:numPr>
          <w:ilvl w:val="0"/>
          <w:numId w:val="4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проєктні, інженерні, юридичні та консалтингові компанії;</w:t>
      </w:r>
    </w:p>
    <w:p w:rsidR="00542249" w:rsidRDefault="00016EAC">
      <w:pPr>
        <w:numPr>
          <w:ilvl w:val="0"/>
          <w:numId w:val="4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громадські організації та ветеранські об’єдн</w:t>
      </w:r>
      <w:r>
        <w:rPr>
          <w:rFonts w:ascii="Times New Roman" w:eastAsia="Times New Roman" w:hAnsi="Times New Roman" w:cs="Times New Roman"/>
          <w:sz w:val="28"/>
          <w:szCs w:val="28"/>
        </w:rPr>
        <w:t>ання (у соціальних і реабілітаційних проєктах).</w:t>
      </w:r>
    </w:p>
    <w:p w:rsidR="00542249" w:rsidRDefault="00016EAC">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КП "БАРР" у цьому середовищі виступає координатором і інтегратором інтересів, забезпечуючи злагоджену роботу всіх сторін.</w:t>
      </w:r>
    </w:p>
    <w:p w:rsidR="00542249" w:rsidRDefault="00542249">
      <w:pPr>
        <w:spacing w:after="0" w:line="240" w:lineRule="auto"/>
        <w:ind w:firstLine="720"/>
        <w:jc w:val="both"/>
        <w:rPr>
          <w:rFonts w:ascii="Times New Roman" w:eastAsia="Times New Roman" w:hAnsi="Times New Roman" w:cs="Times New Roman"/>
          <w:b/>
          <w:bCs/>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2.3. Внутрішній аналіз та матриця сильних, слабких сторін, можливостей і </w:t>
      </w:r>
      <w:r>
        <w:rPr>
          <w:rFonts w:ascii="Times New Roman" w:eastAsia="Times New Roman" w:hAnsi="Times New Roman" w:cs="Times New Roman"/>
          <w:b/>
          <w:bCs/>
          <w:sz w:val="28"/>
          <w:szCs w:val="28"/>
        </w:rPr>
        <w:t>загроз.</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КП  "БАРР" володіє унікальною перевагою — сильним брендом Бучі, який став впізнаваним на світовій арені як приклад стійкості та якісного відновлення. Це дозволяє Агенції вести переговори з представниками крупних компаній для залучення інвестицій в </w:t>
      </w:r>
      <w:r>
        <w:rPr>
          <w:rFonts w:ascii="Times New Roman" w:eastAsia="Times New Roman" w:hAnsi="Times New Roman" w:cs="Times New Roman"/>
          <w:sz w:val="28"/>
          <w:szCs w:val="28"/>
        </w:rPr>
        <w:t>регіон. Внутрішня структура Агенції на 2026 рік передбачає посилення відділу регіонального розвитку та створення проєктного офісу, здатного адмініструвати складні інженерні проєкти.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реалізації стратегічних цілей на 2026–2028 роки КП «Бучанська агенція </w:t>
      </w:r>
      <w:r>
        <w:rPr>
          <w:rFonts w:ascii="Times New Roman" w:eastAsia="Times New Roman" w:hAnsi="Times New Roman" w:cs="Times New Roman"/>
          <w:sz w:val="28"/>
          <w:szCs w:val="28"/>
        </w:rPr>
        <w:t>регіонального розвитку» спирається на сукупність матеріальних та нематеріальних ресурсів, які формують інституційну спроможність Агенції та визначають її роль як оператора розвитку громади.</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До ключових матеріальних ресурсів належать:</w:t>
      </w:r>
    </w:p>
    <w:p w:rsidR="00542249" w:rsidRDefault="00016EAC">
      <w:pPr>
        <w:numPr>
          <w:ilvl w:val="0"/>
          <w:numId w:val="3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робоче приміщення та інфраструктура, необхідна для функціонування проєктного офісу;</w:t>
      </w:r>
    </w:p>
    <w:p w:rsidR="00542249" w:rsidRDefault="00016EAC">
      <w:pPr>
        <w:numPr>
          <w:ilvl w:val="0"/>
          <w:numId w:val="3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доступ до земельних ресурсів комунальної власності в межах реалізації стратегічних проєктів;</w:t>
      </w:r>
    </w:p>
    <w:p w:rsidR="00542249" w:rsidRDefault="00016EAC">
      <w:pPr>
        <w:numPr>
          <w:ilvl w:val="0"/>
          <w:numId w:val="3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інженерна та транспортна інфраструктура громади, яка використовується при плану</w:t>
      </w:r>
      <w:r>
        <w:rPr>
          <w:rFonts w:ascii="Times New Roman" w:eastAsia="Times New Roman" w:hAnsi="Times New Roman" w:cs="Times New Roman"/>
          <w:sz w:val="28"/>
          <w:szCs w:val="28"/>
        </w:rPr>
        <w:t>ванні інвестиційних і промислових проєктів;</w:t>
      </w:r>
    </w:p>
    <w:p w:rsidR="00542249" w:rsidRDefault="00016EAC">
      <w:pPr>
        <w:numPr>
          <w:ilvl w:val="0"/>
          <w:numId w:val="32"/>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комп’ютерна техніка, програмне забезпечення та базові ІТ-інструменти для аналітичної, проєктної та комунікаційної роботи.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Нематеріальні ресурси є ключовою конкурентною перевагою КП "БАРР"» та визначають його унік</w:t>
      </w:r>
      <w:r>
        <w:rPr>
          <w:rFonts w:ascii="Times New Roman" w:eastAsia="Times New Roman" w:hAnsi="Times New Roman" w:cs="Times New Roman"/>
          <w:sz w:val="28"/>
          <w:szCs w:val="28"/>
        </w:rPr>
        <w:t>альну роль у системі управління розвитком громади.</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До нематеріальних ресурсів Агенції належать:</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Аналітичні та інформаційні ресурси:</w:t>
      </w:r>
    </w:p>
    <w:p w:rsidR="00542249" w:rsidRDefault="00016EAC">
      <w:pPr>
        <w:numPr>
          <w:ilvl w:val="0"/>
          <w:numId w:val="35"/>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доступ до ГІС-даних, містобудівної документації, кадастрової інформації;</w:t>
      </w:r>
    </w:p>
    <w:p w:rsidR="00542249" w:rsidRDefault="00016EAC">
      <w:pPr>
        <w:numPr>
          <w:ilvl w:val="0"/>
          <w:numId w:val="35"/>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бази даних щодо проєктів відновлення, інвесторів, д</w:t>
      </w:r>
      <w:r>
        <w:rPr>
          <w:rFonts w:ascii="Times New Roman" w:eastAsia="Times New Roman" w:hAnsi="Times New Roman" w:cs="Times New Roman"/>
          <w:sz w:val="28"/>
          <w:szCs w:val="28"/>
        </w:rPr>
        <w:t>онорів, локального бізнесу;</w:t>
      </w:r>
    </w:p>
    <w:p w:rsidR="00542249" w:rsidRDefault="00016EAC">
      <w:pPr>
        <w:numPr>
          <w:ilvl w:val="0"/>
          <w:numId w:val="35"/>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використання цифрових систем управління проєктами для прозорого планування та звітності.</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Кадровий та управлінський потенціал:</w:t>
      </w:r>
    </w:p>
    <w:p w:rsidR="00542249" w:rsidRDefault="00016EAC">
      <w:pPr>
        <w:numPr>
          <w:ilvl w:val="0"/>
          <w:numId w:val="33"/>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команда з досвідом у проєктному менеджменті, стратегічному плануванні, роботі з донорами та партнерами</w:t>
      </w:r>
      <w:r>
        <w:rPr>
          <w:rFonts w:ascii="Times New Roman" w:eastAsia="Times New Roman" w:hAnsi="Times New Roman" w:cs="Times New Roman"/>
          <w:sz w:val="28"/>
          <w:szCs w:val="28"/>
        </w:rPr>
        <w:t>;</w:t>
      </w:r>
    </w:p>
    <w:p w:rsidR="00542249" w:rsidRDefault="00016EAC">
      <w:pPr>
        <w:numPr>
          <w:ilvl w:val="0"/>
          <w:numId w:val="33"/>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гнучкість у залученні зовнішніх експертів, консультантів і проєктних команд;</w:t>
      </w:r>
    </w:p>
    <w:p w:rsidR="00542249" w:rsidRDefault="00016EAC">
      <w:pPr>
        <w:numPr>
          <w:ilvl w:val="0"/>
          <w:numId w:val="33"/>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здатність працювати у форматі проєктного офісу з чіткими строками та показниками ефективності.</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Партнерська мережа:</w:t>
      </w:r>
    </w:p>
    <w:p w:rsidR="00542249" w:rsidRDefault="00016EAC">
      <w:pPr>
        <w:numPr>
          <w:ilvl w:val="0"/>
          <w:numId w:val="40"/>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налагоджена співпраця з органами місцевого та </w:t>
      </w:r>
      <w:r>
        <w:rPr>
          <w:rFonts w:ascii="Times New Roman" w:eastAsia="Times New Roman" w:hAnsi="Times New Roman" w:cs="Times New Roman"/>
          <w:sz w:val="28"/>
          <w:szCs w:val="28"/>
        </w:rPr>
        <w:t>державного управління;</w:t>
      </w:r>
    </w:p>
    <w:p w:rsidR="00542249" w:rsidRDefault="00016EAC">
      <w:pPr>
        <w:numPr>
          <w:ilvl w:val="0"/>
          <w:numId w:val="40"/>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взаємодія з приватними девелоперами, інвесторами, громадськими та ветеранськими організаціями.</w:t>
      </w:r>
    </w:p>
    <w:p w:rsidR="00542249" w:rsidRDefault="00542249">
      <w:pPr>
        <w:spacing w:after="280" w:line="240" w:lineRule="auto"/>
        <w:ind w:firstLine="720"/>
        <w:jc w:val="both"/>
        <w:rPr>
          <w:rFonts w:ascii="Times New Roman" w:eastAsia="Times New Roman" w:hAnsi="Times New Roman" w:cs="Times New Roman"/>
          <w:sz w:val="28"/>
          <w:szCs w:val="28"/>
        </w:rPr>
      </w:pPr>
    </w:p>
    <w:tbl>
      <w:tblPr>
        <w:tblStyle w:val="af3"/>
        <w:tblW w:w="978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90"/>
        <w:gridCol w:w="4891"/>
      </w:tblGrid>
      <w:tr w:rsidR="00542249">
        <w:tc>
          <w:tcPr>
            <w:tcW w:w="4890" w:type="dxa"/>
            <w:tcMar>
              <w:top w:w="100" w:type="dxa"/>
              <w:left w:w="100" w:type="dxa"/>
              <w:bottom w:w="100" w:type="dxa"/>
              <w:right w:w="100" w:type="dxa"/>
            </w:tcMar>
          </w:tcPr>
          <w:p w:rsidR="00542249" w:rsidRDefault="00016EAC">
            <w:pPr>
              <w:widowControl w:val="0"/>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Сильні сторони</w:t>
            </w:r>
          </w:p>
        </w:tc>
        <w:tc>
          <w:tcPr>
            <w:tcW w:w="4891" w:type="dxa"/>
            <w:tcMar>
              <w:top w:w="100" w:type="dxa"/>
              <w:left w:w="100" w:type="dxa"/>
              <w:bottom w:w="100" w:type="dxa"/>
              <w:right w:w="100" w:type="dxa"/>
            </w:tcMar>
          </w:tcPr>
          <w:p w:rsidR="00542249" w:rsidRDefault="00016EAC">
            <w:pPr>
              <w:widowControl w:val="0"/>
              <w:spacing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Слабкі сторони</w:t>
            </w:r>
          </w:p>
        </w:tc>
      </w:tr>
      <w:tr w:rsidR="00542249">
        <w:tc>
          <w:tcPr>
            <w:tcW w:w="4890" w:type="dxa"/>
            <w:tcMar>
              <w:top w:w="100" w:type="dxa"/>
              <w:left w:w="100" w:type="dxa"/>
              <w:bottom w:w="100" w:type="dxa"/>
              <w:right w:w="100" w:type="dxa"/>
            </w:tcMar>
          </w:tcPr>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Інституційні:</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Підтримка з боку органів місцевого </w:t>
            </w:r>
            <w:r>
              <w:rPr>
                <w:rFonts w:ascii="Times New Roman" w:eastAsia="Times New Roman" w:hAnsi="Times New Roman" w:cs="Times New Roman"/>
                <w:sz w:val="28"/>
                <w:szCs w:val="28"/>
              </w:rPr>
              <w:lastRenderedPageBreak/>
              <w:t>самоврядування.</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Мандат на координацію проєктів економічного розвитку та інвестицій.</w:t>
            </w:r>
          </w:p>
          <w:p w:rsidR="00542249" w:rsidRDefault="00016EAC">
            <w:pPr>
              <w:widowControl w:val="0"/>
              <w:spacing w:after="28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Фінансові:</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Можливість залучення донорського та грантового фінансування.</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Гнучкість у формуванні фінансової моделі проєктів.</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Потенціал доходів від проєктної діяльності та партнерств.</w:t>
            </w:r>
          </w:p>
          <w:p w:rsidR="00542249" w:rsidRDefault="00016EAC">
            <w:pPr>
              <w:widowControl w:val="0"/>
              <w:spacing w:after="28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Кадрові</w:t>
            </w:r>
            <w:r>
              <w:rPr>
                <w:rFonts w:ascii="Times New Roman" w:eastAsia="Times New Roman" w:hAnsi="Times New Roman" w:cs="Times New Roman"/>
                <w:b/>
                <w:bCs/>
                <w:sz w:val="28"/>
                <w:szCs w:val="28"/>
              </w:rPr>
              <w:t>:</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Команда з досвідом у проєктному менеджменті та роботі з партнерами.</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Наявність експертизи у сфері розвитку територій та інвестицій.</w:t>
            </w:r>
          </w:p>
          <w:p w:rsidR="00542249" w:rsidRDefault="00016EAC">
            <w:pPr>
              <w:widowControl w:val="0"/>
              <w:spacing w:after="28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Репутаційні:</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Позитивний імідж громади як території відновлення та розвитку.</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Довіра з боку міжнародних партнерів та донорів.</w:t>
            </w:r>
          </w:p>
          <w:p w:rsidR="00542249" w:rsidRDefault="00016EAC">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Географічна близькість до Києва як іміджева перевага.</w:t>
            </w:r>
          </w:p>
        </w:tc>
        <w:tc>
          <w:tcPr>
            <w:tcW w:w="4891" w:type="dxa"/>
            <w:tcMar>
              <w:top w:w="100" w:type="dxa"/>
              <w:left w:w="100" w:type="dxa"/>
              <w:bottom w:w="100" w:type="dxa"/>
              <w:right w:w="100" w:type="dxa"/>
            </w:tcMar>
          </w:tcPr>
          <w:p w:rsidR="00542249" w:rsidRDefault="00016EAC">
            <w:pPr>
              <w:widowControl w:val="0"/>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Інституційні:</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Молодість організації та незавершеність внутрішніх процесів,  в </w:t>
            </w:r>
            <w:r>
              <w:rPr>
                <w:rFonts w:ascii="Times New Roman" w:eastAsia="Times New Roman" w:hAnsi="Times New Roman" w:cs="Times New Roman"/>
                <w:sz w:val="28"/>
                <w:szCs w:val="28"/>
              </w:rPr>
              <w:lastRenderedPageBreak/>
              <w:t>тому числі формування команди з високими компетенціями.</w:t>
            </w:r>
          </w:p>
          <w:p w:rsidR="00542249" w:rsidRDefault="00016EAC">
            <w:pPr>
              <w:widowControl w:val="0"/>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Фінансові:</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Залежність від бюджетного та донорського </w:t>
            </w:r>
            <w:r>
              <w:rPr>
                <w:rFonts w:ascii="Times New Roman" w:eastAsia="Times New Roman" w:hAnsi="Times New Roman" w:cs="Times New Roman"/>
                <w:sz w:val="28"/>
                <w:szCs w:val="28"/>
              </w:rPr>
              <w:t>фінансування</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Відсутність стабільного довгострокового власного доходу.</w:t>
            </w:r>
          </w:p>
          <w:p w:rsidR="00542249" w:rsidRDefault="00016EAC">
            <w:pPr>
              <w:widowControl w:val="0"/>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Кадрові:</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Обмежена чисельність команди.</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Високе навантаження на ключових спеціалістів.</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Потреба у підвищенні кваліфікації за окремими напрямами.</w:t>
            </w:r>
          </w:p>
          <w:p w:rsidR="00542249" w:rsidRDefault="00016EAC">
            <w:pPr>
              <w:widowControl w:val="0"/>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Репутаційні</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Низький рівень </w:t>
            </w:r>
            <w:r>
              <w:rPr>
                <w:rFonts w:ascii="Times New Roman" w:eastAsia="Times New Roman" w:hAnsi="Times New Roman" w:cs="Times New Roman"/>
                <w:sz w:val="28"/>
                <w:szCs w:val="28"/>
              </w:rPr>
              <w:t>впізнаваності Агенції серед бізнесу.</w:t>
            </w:r>
          </w:p>
          <w:p w:rsidR="00542249" w:rsidRDefault="00016EAC">
            <w:pPr>
              <w:widowControl w:val="0"/>
              <w:spacing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Обмежена комунікаційна присутність на національному рівні.</w:t>
            </w:r>
          </w:p>
        </w:tc>
      </w:tr>
      <w:tr w:rsidR="00542249">
        <w:tc>
          <w:tcPr>
            <w:tcW w:w="4890" w:type="dxa"/>
            <w:tcMar>
              <w:top w:w="100" w:type="dxa"/>
              <w:left w:w="100" w:type="dxa"/>
              <w:bottom w:w="100" w:type="dxa"/>
              <w:right w:w="100" w:type="dxa"/>
            </w:tcMar>
          </w:tcPr>
          <w:p w:rsidR="00542249" w:rsidRDefault="00016EAC">
            <w:pPr>
              <w:widowControl w:val="0"/>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Можливості</w:t>
            </w:r>
          </w:p>
        </w:tc>
        <w:tc>
          <w:tcPr>
            <w:tcW w:w="4891" w:type="dxa"/>
            <w:tcMar>
              <w:top w:w="100" w:type="dxa"/>
              <w:left w:w="100" w:type="dxa"/>
              <w:bottom w:w="100" w:type="dxa"/>
              <w:right w:w="100" w:type="dxa"/>
            </w:tcMar>
          </w:tcPr>
          <w:p w:rsidR="00542249" w:rsidRDefault="00016EAC">
            <w:pPr>
              <w:widowControl w:val="0"/>
              <w:spacing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Загрози</w:t>
            </w:r>
          </w:p>
        </w:tc>
      </w:tr>
      <w:tr w:rsidR="00542249">
        <w:tc>
          <w:tcPr>
            <w:tcW w:w="4890" w:type="dxa"/>
            <w:tcMar>
              <w:top w:w="100" w:type="dxa"/>
              <w:left w:w="100" w:type="dxa"/>
              <w:bottom w:w="100" w:type="dxa"/>
              <w:right w:w="100" w:type="dxa"/>
            </w:tcMar>
          </w:tcPr>
          <w:p w:rsidR="00542249" w:rsidRDefault="00016EAC">
            <w:pPr>
              <w:widowControl w:val="0"/>
              <w:spacing w:after="28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Інституційні:</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Децентралізація та розширення ролі агенцій розвитку.</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Державні програми відновлення та розвитку громад.</w:t>
            </w:r>
          </w:p>
          <w:p w:rsidR="00542249" w:rsidRDefault="00016EAC">
            <w:pPr>
              <w:widowControl w:val="0"/>
              <w:spacing w:after="28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Фінансові:</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Доступ до м</w:t>
            </w:r>
            <w:r>
              <w:rPr>
                <w:rFonts w:ascii="Times New Roman" w:eastAsia="Times New Roman" w:hAnsi="Times New Roman" w:cs="Times New Roman"/>
                <w:sz w:val="28"/>
                <w:szCs w:val="28"/>
              </w:rPr>
              <w:t>іжнародних фондів.</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Публічно-приватне партнерство.</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індустріальних парків.</w:t>
            </w:r>
          </w:p>
          <w:p w:rsidR="00542249" w:rsidRDefault="00016EAC">
            <w:pPr>
              <w:widowControl w:val="0"/>
              <w:spacing w:after="28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Кадрові:</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Залучення зовнішніх експертів і консультантів.</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Партнерство з освітніми та експертними організаціями.</w:t>
            </w:r>
          </w:p>
          <w:p w:rsidR="00542249" w:rsidRDefault="00016EAC">
            <w:pPr>
              <w:widowControl w:val="0"/>
              <w:spacing w:after="28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Репутаційні:</w:t>
            </w:r>
          </w:p>
          <w:p w:rsidR="00542249" w:rsidRDefault="00016EAC">
            <w:pPr>
              <w:widowControl w:val="0"/>
              <w:spacing w:after="28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Позиціонування громади як кейсу успішного </w:t>
            </w:r>
            <w:r>
              <w:rPr>
                <w:rFonts w:ascii="Times New Roman" w:eastAsia="Times New Roman" w:hAnsi="Times New Roman" w:cs="Times New Roman"/>
                <w:sz w:val="28"/>
                <w:szCs w:val="28"/>
              </w:rPr>
              <w:t>відновлення.</w:t>
            </w:r>
          </w:p>
          <w:p w:rsidR="00542249" w:rsidRDefault="00016EAC">
            <w:pPr>
              <w:widowControl w:val="0"/>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Формування бренду громади для інвесторів.</w:t>
            </w:r>
          </w:p>
        </w:tc>
        <w:tc>
          <w:tcPr>
            <w:tcW w:w="4891" w:type="dxa"/>
            <w:tcMar>
              <w:top w:w="100" w:type="dxa"/>
              <w:left w:w="100" w:type="dxa"/>
              <w:bottom w:w="100" w:type="dxa"/>
              <w:right w:w="100" w:type="dxa"/>
            </w:tcMar>
          </w:tcPr>
          <w:p w:rsidR="00542249" w:rsidRDefault="00016EAC">
            <w:pPr>
              <w:widowControl w:val="0"/>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Інституційні:</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Зміна політичних пріоритетів.</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Нормативні обмеження або зміни законодавства.</w:t>
            </w:r>
          </w:p>
          <w:p w:rsidR="00542249" w:rsidRDefault="00016EAC">
            <w:pPr>
              <w:widowControl w:val="0"/>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Фінансові:</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Скорочення донорського </w:t>
            </w:r>
            <w:r>
              <w:rPr>
                <w:rFonts w:ascii="Times New Roman" w:eastAsia="Times New Roman" w:hAnsi="Times New Roman" w:cs="Times New Roman"/>
                <w:sz w:val="28"/>
                <w:szCs w:val="28"/>
              </w:rPr>
              <w:lastRenderedPageBreak/>
              <w:t>фінансування.</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Макроекономічна нестабільність.</w:t>
            </w:r>
          </w:p>
          <w:p w:rsidR="00542249" w:rsidRDefault="00016EAC">
            <w:pPr>
              <w:widowControl w:val="0"/>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Кадрові:</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Відтік кадрів у приват</w:t>
            </w:r>
            <w:r>
              <w:rPr>
                <w:rFonts w:ascii="Times New Roman" w:eastAsia="Times New Roman" w:hAnsi="Times New Roman" w:cs="Times New Roman"/>
                <w:sz w:val="28"/>
                <w:szCs w:val="28"/>
              </w:rPr>
              <w:t>ний сектор.</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Вигорання команди.</w:t>
            </w:r>
          </w:p>
          <w:p w:rsidR="00542249" w:rsidRDefault="00016EAC">
            <w:pPr>
              <w:widowControl w:val="0"/>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Репутаційні:</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Репутаційні ризики у разі нереалізованих проєктів.</w:t>
            </w:r>
          </w:p>
          <w:p w:rsidR="00542249" w:rsidRDefault="00016EAC">
            <w:pPr>
              <w:widowControl w:val="0"/>
              <w:spacing w:after="28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Конкуренція з іншими громадами за інвесторів і ресурси.</w:t>
            </w:r>
          </w:p>
          <w:p w:rsidR="00542249" w:rsidRDefault="00542249">
            <w:pPr>
              <w:widowControl w:val="0"/>
              <w:pBdr>
                <w:top w:val="nil"/>
                <w:left w:val="nil"/>
                <w:bottom w:val="nil"/>
                <w:right w:val="nil"/>
                <w:between w:val="nil"/>
              </w:pBdr>
              <w:spacing w:line="240" w:lineRule="auto"/>
              <w:jc w:val="both"/>
              <w:rPr>
                <w:rFonts w:ascii="Times New Roman" w:eastAsia="Times New Roman" w:hAnsi="Times New Roman" w:cs="Times New Roman"/>
                <w:sz w:val="28"/>
                <w:szCs w:val="28"/>
              </w:rPr>
            </w:pPr>
          </w:p>
        </w:tc>
      </w:tr>
    </w:tbl>
    <w:p w:rsidR="00542249" w:rsidRDefault="00542249">
      <w:pPr>
        <w:spacing w:after="280" w:line="240" w:lineRule="auto"/>
        <w:ind w:firstLine="720"/>
        <w:jc w:val="both"/>
        <w:rPr>
          <w:rFonts w:ascii="Times New Roman" w:eastAsia="Times New Roman" w:hAnsi="Times New Roman" w:cs="Times New Roman"/>
          <w:sz w:val="28"/>
          <w:szCs w:val="28"/>
        </w:rPr>
      </w:pP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Матриця стратегічних дій визначає своїм пріоритетом використання бренду Бучі для залучення </w:t>
      </w:r>
      <w:r>
        <w:rPr>
          <w:rFonts w:ascii="Times New Roman" w:eastAsia="Times New Roman" w:hAnsi="Times New Roman" w:cs="Times New Roman"/>
          <w:sz w:val="28"/>
          <w:szCs w:val="28"/>
        </w:rPr>
        <w:t>міжнародних донорів до фінансування інфраструктури ІП «Бабинці» та проекту в сфері зеленого туризму «Мироцькі озера». Стратегія передбачає використання партнерства з регіональними агенціями України для навчання персоналу КП "БАРР" стандартам управління інд</w:t>
      </w:r>
      <w:r>
        <w:rPr>
          <w:rFonts w:ascii="Times New Roman" w:eastAsia="Times New Roman" w:hAnsi="Times New Roman" w:cs="Times New Roman"/>
          <w:sz w:val="28"/>
          <w:szCs w:val="28"/>
        </w:rPr>
        <w:t>устріальними зонами.</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2.4. Стратегічні рішення на основі матриці “стратегічних дій”.</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 метою трансформації результатів аналізу сильних, слабких сторін, можливостей і загроз у практичні управлінські рішення сформовано матрицю стратегічних дій, яка дозволяє </w:t>
      </w:r>
      <w:r>
        <w:rPr>
          <w:rFonts w:ascii="Times New Roman" w:eastAsia="Times New Roman" w:hAnsi="Times New Roman" w:cs="Times New Roman"/>
          <w:sz w:val="28"/>
          <w:szCs w:val="28"/>
        </w:rPr>
        <w:t>поєднати внутрішні характеристики Агенції з зовнішнім середовищем та визначити пріоритетні стратегічні підходи на 2026–2028 роки.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Використання сильних сторін для реалізації можливостей.</w:t>
      </w:r>
    </w:p>
    <w:p w:rsidR="00542249" w:rsidRDefault="00016EAC">
      <w:pPr>
        <w:numPr>
          <w:ilvl w:val="0"/>
          <w:numId w:val="9"/>
        </w:numPr>
        <w:spacing w:after="280" w:line="240" w:lineRule="auto"/>
        <w:ind w:left="0"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Використання можливостей для подолання слабких сторін:</w:t>
      </w:r>
    </w:p>
    <w:p w:rsidR="00542249" w:rsidRDefault="00016EAC">
      <w:pPr>
        <w:numPr>
          <w:ilvl w:val="0"/>
          <w:numId w:val="1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Компенсувати нестачу досвіду управління великими промисловими об’єктами через партнерство з агенціями розвитку інших міст та залучення зовнішніх експертів.</w:t>
      </w:r>
    </w:p>
    <w:p w:rsidR="00542249" w:rsidRDefault="00016EAC">
      <w:pPr>
        <w:numPr>
          <w:ilvl w:val="0"/>
          <w:numId w:val="1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Зменшити фінансові обмеження на старті стратегії шляхом участі у грантових програмах, механізмах дер</w:t>
      </w:r>
      <w:r>
        <w:rPr>
          <w:rFonts w:ascii="Times New Roman" w:eastAsia="Times New Roman" w:hAnsi="Times New Roman" w:cs="Times New Roman"/>
          <w:sz w:val="28"/>
          <w:szCs w:val="28"/>
        </w:rPr>
        <w:t>жавно-приватного партнерства та співфінансування.</w:t>
      </w:r>
    </w:p>
    <w:p w:rsidR="00542249" w:rsidRDefault="00016EAC">
      <w:pPr>
        <w:numPr>
          <w:ilvl w:val="0"/>
          <w:numId w:val="11"/>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Посилити кадрову спроможність через навчальні програми, менторство та тимчасове залучення проєктних команд під ключові ініціативи.</w:t>
      </w:r>
    </w:p>
    <w:p w:rsidR="00542249" w:rsidRDefault="00016EAC">
      <w:pPr>
        <w:numPr>
          <w:ilvl w:val="0"/>
          <w:numId w:val="9"/>
        </w:numPr>
        <w:spacing w:after="280" w:line="240" w:lineRule="auto"/>
        <w:ind w:left="0"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Використання сильних сторін для мінімізації загроз:</w:t>
      </w:r>
    </w:p>
    <w:p w:rsidR="00542249" w:rsidRDefault="00016EAC">
      <w:pPr>
        <w:numPr>
          <w:ilvl w:val="0"/>
          <w:numId w:val="1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Використати інституційн</w:t>
      </w:r>
      <w:r>
        <w:rPr>
          <w:rFonts w:ascii="Times New Roman" w:eastAsia="Times New Roman" w:hAnsi="Times New Roman" w:cs="Times New Roman"/>
          <w:sz w:val="28"/>
          <w:szCs w:val="28"/>
        </w:rPr>
        <w:t>у підтримку та репутацію Агенції для збереження стабільності проєктів у разі змін політичних пріоритетів або бюджетного циклу.</w:t>
      </w:r>
    </w:p>
    <w:p w:rsidR="00542249" w:rsidRDefault="00016EAC">
      <w:pPr>
        <w:numPr>
          <w:ilvl w:val="0"/>
          <w:numId w:val="1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Забезпечити прозорі процедури управління активами та проєктами з метою мінімізації корупційних і репутаційних ризиків.</w:t>
      </w:r>
    </w:p>
    <w:p w:rsidR="00542249" w:rsidRDefault="00016EAC">
      <w:pPr>
        <w:numPr>
          <w:ilvl w:val="0"/>
          <w:numId w:val="12"/>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Розвивати </w:t>
      </w:r>
      <w:r>
        <w:rPr>
          <w:rFonts w:ascii="Times New Roman" w:eastAsia="Times New Roman" w:hAnsi="Times New Roman" w:cs="Times New Roman"/>
          <w:sz w:val="28"/>
          <w:szCs w:val="28"/>
        </w:rPr>
        <w:t>проєкти енергонезалежної інфраструктури як відповідь на ризики атак на енергосистему.</w:t>
      </w:r>
    </w:p>
    <w:p w:rsidR="00542249" w:rsidRDefault="00016EAC">
      <w:pPr>
        <w:numPr>
          <w:ilvl w:val="0"/>
          <w:numId w:val="9"/>
        </w:numPr>
        <w:spacing w:after="280" w:line="240" w:lineRule="auto"/>
        <w:ind w:left="0"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Обмежувальні та захисні стратегії:</w:t>
      </w:r>
    </w:p>
    <w:p w:rsidR="00542249" w:rsidRDefault="00016EAC">
      <w:pPr>
        <w:numPr>
          <w:ilvl w:val="0"/>
          <w:numId w:val="3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Диверсифікувати джерела фінансування для зменшення залежності від бюджетних рішень.</w:t>
      </w:r>
    </w:p>
    <w:p w:rsidR="00542249" w:rsidRDefault="00016EAC">
      <w:pPr>
        <w:numPr>
          <w:ilvl w:val="0"/>
          <w:numId w:val="3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Впровадити внутрішні регламенти, систему ризик-мене</w:t>
      </w:r>
      <w:r>
        <w:rPr>
          <w:rFonts w:ascii="Times New Roman" w:eastAsia="Times New Roman" w:hAnsi="Times New Roman" w:cs="Times New Roman"/>
          <w:sz w:val="28"/>
          <w:szCs w:val="28"/>
        </w:rPr>
        <w:t>джменту та поетапне планування реалізації проєктів.</w:t>
      </w:r>
    </w:p>
    <w:p w:rsidR="00542249" w:rsidRDefault="00016EAC">
      <w:pPr>
        <w:numPr>
          <w:ilvl w:val="0"/>
          <w:numId w:val="31"/>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Формувати кадровий резерв та механізми утримання ключових спеціалістів з метою зниження ризику відтоку кадрів.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Застосування матриці “стратегічних дій “забезпечує логічний перехід від аналітичної частини стратегії до конкретних управлінських рішень та слугує основою для формування пріоритетних проєктів і планів дій Агенції на середньострокову перспективу.</w:t>
      </w:r>
    </w:p>
    <w:p w:rsidR="00542249" w:rsidRDefault="00542249">
      <w:pPr>
        <w:spacing w:after="280" w:line="240" w:lineRule="auto"/>
        <w:ind w:firstLine="720"/>
        <w:jc w:val="both"/>
        <w:rPr>
          <w:rFonts w:ascii="Times New Roman" w:eastAsia="Times New Roman" w:hAnsi="Times New Roman" w:cs="Times New Roman"/>
          <w:sz w:val="28"/>
          <w:szCs w:val="28"/>
        </w:rPr>
      </w:pPr>
    </w:p>
    <w:p w:rsidR="00542249" w:rsidRDefault="00016EAC">
      <w:pPr>
        <w:pStyle w:val="2"/>
        <w:shd w:val="clear" w:color="auto" w:fill="FFFFFF"/>
        <w:spacing w:after="280"/>
        <w:ind w:firstLine="720"/>
        <w:jc w:val="both"/>
        <w:rPr>
          <w:color w:val="1F1F1F"/>
          <w:sz w:val="28"/>
          <w:szCs w:val="28"/>
        </w:rPr>
      </w:pPr>
      <w:r>
        <w:br w:type="page"/>
      </w:r>
    </w:p>
    <w:p w:rsidR="00542249" w:rsidRDefault="00016EAC">
      <w:pPr>
        <w:pStyle w:val="2"/>
        <w:shd w:val="clear" w:color="auto" w:fill="FFFFFF"/>
        <w:spacing w:after="280"/>
        <w:ind w:firstLine="720"/>
        <w:jc w:val="both"/>
        <w:rPr>
          <w:color w:val="1F1F1F"/>
          <w:sz w:val="28"/>
          <w:szCs w:val="28"/>
        </w:rPr>
      </w:pPr>
      <w:r>
        <w:rPr>
          <w:color w:val="1F1F1F"/>
          <w:sz w:val="28"/>
          <w:szCs w:val="28"/>
        </w:rPr>
        <w:lastRenderedPageBreak/>
        <w:t xml:space="preserve">РОЗДІЛ </w:t>
      </w:r>
      <w:r>
        <w:rPr>
          <w:color w:val="1F1F1F"/>
          <w:sz w:val="28"/>
          <w:szCs w:val="28"/>
        </w:rPr>
        <w:t>3. МІСІЯ, ВІЗІЯ ТА ПРИНЦИПИ ДІЯЛЬНОСТІ</w:t>
      </w:r>
    </w:p>
    <w:p w:rsidR="00542249" w:rsidRDefault="00016EAC">
      <w:pPr>
        <w:shd w:val="clear" w:color="auto" w:fill="FFFFFF"/>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color w:val="1F1F1F"/>
          <w:sz w:val="28"/>
          <w:szCs w:val="28"/>
        </w:rPr>
        <w:t>КП  "БАРР"» є ключовим інструментом Бучанської міської ради для формування та реалізації портфелю проєктів розвитку, залучення інвестицій і грантів, підтримки підприємництва та підвищення якості управління громадою на</w:t>
      </w:r>
      <w:r>
        <w:rPr>
          <w:rFonts w:ascii="Times New Roman" w:eastAsia="Times New Roman" w:hAnsi="Times New Roman" w:cs="Times New Roman"/>
          <w:color w:val="1F1F1F"/>
          <w:sz w:val="28"/>
          <w:szCs w:val="28"/>
        </w:rPr>
        <w:t xml:space="preserve"> основі даних і партнерств. Агенція бачить себе не просто як адміністративну одиницю, а як інтелектуальний та організаційний центр розвитку всієї Київської агломерації.</w:t>
      </w:r>
    </w:p>
    <w:p w:rsidR="00542249" w:rsidRDefault="00542249">
      <w:pPr>
        <w:shd w:val="clear" w:color="auto" w:fill="FFFFFF"/>
        <w:spacing w:after="280" w:line="240" w:lineRule="auto"/>
        <w:ind w:firstLine="720"/>
        <w:jc w:val="both"/>
        <w:rPr>
          <w:rFonts w:ascii="Times New Roman" w:eastAsia="Times New Roman" w:hAnsi="Times New Roman" w:cs="Times New Roman"/>
          <w:sz w:val="28"/>
          <w:szCs w:val="28"/>
        </w:rPr>
      </w:pPr>
    </w:p>
    <w:p w:rsidR="00542249" w:rsidRDefault="00016EAC">
      <w:pPr>
        <w:pStyle w:val="3"/>
        <w:shd w:val="clear" w:color="auto" w:fill="FFFFFF"/>
        <w:spacing w:after="280"/>
        <w:ind w:firstLine="720"/>
        <w:jc w:val="both"/>
        <w:rPr>
          <w:color w:val="1F1F1F"/>
          <w:sz w:val="28"/>
          <w:szCs w:val="28"/>
        </w:rPr>
      </w:pPr>
      <w:bookmarkStart w:id="0" w:name="_heading=h.2gwlfuhh8mqa" w:colFirst="0" w:colLast="0"/>
      <w:bookmarkEnd w:id="0"/>
      <w:r>
        <w:rPr>
          <w:color w:val="1F1F1F"/>
          <w:sz w:val="28"/>
          <w:szCs w:val="28"/>
        </w:rPr>
        <w:t>3.1. Місія Агенції</w:t>
      </w:r>
    </w:p>
    <w:p w:rsidR="00542249" w:rsidRDefault="00016EAC">
      <w:pPr>
        <w:shd w:val="clear" w:color="auto" w:fill="FFFFFF"/>
        <w:spacing w:after="280" w:line="240" w:lineRule="auto"/>
        <w:ind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color w:val="1F1F1F"/>
          <w:sz w:val="28"/>
          <w:szCs w:val="28"/>
        </w:rPr>
        <w:t>Професійно</w:t>
      </w:r>
      <w:r>
        <w:rPr>
          <w:rFonts w:ascii="Times New Roman" w:eastAsia="Times New Roman" w:hAnsi="Times New Roman" w:cs="Times New Roman"/>
          <w:color w:val="1F1F1F"/>
          <w:sz w:val="28"/>
          <w:szCs w:val="28"/>
        </w:rPr>
        <w:t xml:space="preserve"> та прозоро перетворювати ідеї розвитку Бучанської громади на підготовлені проєкти, інвестиції та партнерства, які створюють високооплачувані робочі місця, збільшують доходи бюджету та гарантують якісно новий рівень життя, комфорту та безпеки мешканців. Аг</w:t>
      </w:r>
      <w:r>
        <w:rPr>
          <w:rFonts w:ascii="Times New Roman" w:eastAsia="Times New Roman" w:hAnsi="Times New Roman" w:cs="Times New Roman"/>
          <w:color w:val="1F1F1F"/>
          <w:sz w:val="28"/>
          <w:szCs w:val="28"/>
        </w:rPr>
        <w:t>енція діє як «єдине вікно» розвитку та комунікаційний міст між потребами громади, можливостями бізнесу, ресурсами донорів та владою.</w:t>
      </w:r>
    </w:p>
    <w:p w:rsidR="00542249" w:rsidRDefault="00542249">
      <w:pPr>
        <w:shd w:val="clear" w:color="auto" w:fill="FFFFFF"/>
        <w:spacing w:after="280" w:line="240" w:lineRule="auto"/>
        <w:ind w:firstLine="720"/>
        <w:jc w:val="both"/>
        <w:rPr>
          <w:rFonts w:ascii="Times New Roman" w:eastAsia="Times New Roman" w:hAnsi="Times New Roman" w:cs="Times New Roman"/>
          <w:b/>
          <w:bCs/>
          <w:color w:val="1F1F1F"/>
          <w:sz w:val="28"/>
          <w:szCs w:val="28"/>
        </w:rPr>
      </w:pPr>
    </w:p>
    <w:p w:rsidR="00542249" w:rsidRDefault="00016EAC">
      <w:pPr>
        <w:shd w:val="clear" w:color="auto" w:fill="FFFFFF"/>
        <w:spacing w:after="280" w:line="240" w:lineRule="auto"/>
        <w:ind w:firstLine="720"/>
        <w:jc w:val="both"/>
        <w:rPr>
          <w:rFonts w:ascii="Times New Roman" w:eastAsia="Times New Roman" w:hAnsi="Times New Roman" w:cs="Times New Roman"/>
          <w:b/>
          <w:bCs/>
          <w:color w:val="1F1F1F"/>
          <w:sz w:val="28"/>
          <w:szCs w:val="28"/>
        </w:rPr>
      </w:pPr>
      <w:r>
        <w:rPr>
          <w:rFonts w:ascii="Times New Roman" w:eastAsia="Times New Roman" w:hAnsi="Times New Roman" w:cs="Times New Roman"/>
          <w:b/>
          <w:bCs/>
          <w:color w:val="1F1F1F"/>
          <w:sz w:val="28"/>
          <w:szCs w:val="28"/>
        </w:rPr>
        <w:t>3.2. Візія Агенції</w:t>
      </w:r>
    </w:p>
    <w:p w:rsidR="00542249" w:rsidRDefault="00016EAC">
      <w:pPr>
        <w:shd w:val="clear" w:color="auto" w:fill="FFFFFF"/>
        <w:spacing w:after="280" w:line="240" w:lineRule="auto"/>
        <w:ind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color w:val="1F1F1F"/>
          <w:sz w:val="28"/>
          <w:szCs w:val="28"/>
        </w:rPr>
        <w:t>Буча — це громада інновацій, підприємництва та високої економічної складності з дієвою екосистемою зрос</w:t>
      </w:r>
      <w:r>
        <w:rPr>
          <w:rFonts w:ascii="Times New Roman" w:eastAsia="Times New Roman" w:hAnsi="Times New Roman" w:cs="Times New Roman"/>
          <w:color w:val="1F1F1F"/>
          <w:sz w:val="28"/>
          <w:szCs w:val="28"/>
        </w:rPr>
        <w:t>тання. Агенція КП "БАРР" є визнаним лідером муніципальних інституцій України, яка:</w:t>
      </w:r>
    </w:p>
    <w:p w:rsidR="00542249" w:rsidRDefault="00016EAC">
      <w:pPr>
        <w:numPr>
          <w:ilvl w:val="0"/>
          <w:numId w:val="15"/>
        </w:numPr>
        <w:shd w:val="clear" w:color="auto" w:fill="FFFFFF"/>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color w:val="1F1F1F"/>
          <w:sz w:val="28"/>
          <w:szCs w:val="28"/>
        </w:rPr>
        <w:t>Успішно створює, розвиває та управляє муніципальним індустріальним парком;</w:t>
      </w:r>
    </w:p>
    <w:p w:rsidR="00542249" w:rsidRDefault="00016EAC">
      <w:pPr>
        <w:numPr>
          <w:ilvl w:val="0"/>
          <w:numId w:val="15"/>
        </w:numPr>
        <w:shd w:val="clear" w:color="auto" w:fill="FFFFFF"/>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color w:val="1F1F1F"/>
          <w:sz w:val="28"/>
          <w:szCs w:val="28"/>
        </w:rPr>
        <w:t>Координує найбільший у регіоні технологічний кластер Bucha Techno Garden;</w:t>
      </w:r>
    </w:p>
    <w:p w:rsidR="00542249" w:rsidRDefault="00016EAC">
      <w:pPr>
        <w:numPr>
          <w:ilvl w:val="0"/>
          <w:numId w:val="15"/>
        </w:numPr>
        <w:shd w:val="clear" w:color="auto" w:fill="FFFFFF"/>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color w:val="1F1F1F"/>
          <w:sz w:val="28"/>
          <w:szCs w:val="28"/>
        </w:rPr>
        <w:t>Розвиває рекреаційну зон</w:t>
      </w:r>
      <w:r>
        <w:rPr>
          <w:rFonts w:ascii="Times New Roman" w:eastAsia="Times New Roman" w:hAnsi="Times New Roman" w:cs="Times New Roman"/>
          <w:color w:val="1F1F1F"/>
          <w:sz w:val="28"/>
          <w:szCs w:val="28"/>
        </w:rPr>
        <w:t>у «Мироцькі озера»;</w:t>
      </w:r>
    </w:p>
    <w:p w:rsidR="00542249" w:rsidRDefault="00016EAC">
      <w:pPr>
        <w:numPr>
          <w:ilvl w:val="0"/>
          <w:numId w:val="15"/>
        </w:numPr>
        <w:shd w:val="clear" w:color="auto" w:fill="FFFFFF"/>
        <w:spacing w:after="28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color w:val="1F1F1F"/>
          <w:sz w:val="28"/>
          <w:szCs w:val="28"/>
        </w:rPr>
        <w:t>Забезпечує «нульовий рівень» бюрократії та максимальну інфраструктурну готовність для інвесторів.</w:t>
      </w:r>
    </w:p>
    <w:p w:rsidR="00542249" w:rsidRDefault="00542249">
      <w:pPr>
        <w:shd w:val="clear" w:color="auto" w:fill="FFFFFF"/>
        <w:spacing w:after="280" w:line="240" w:lineRule="auto"/>
        <w:ind w:firstLine="720"/>
        <w:jc w:val="both"/>
        <w:rPr>
          <w:rFonts w:ascii="Times New Roman" w:eastAsia="Times New Roman" w:hAnsi="Times New Roman" w:cs="Times New Roman"/>
          <w:b/>
          <w:bCs/>
          <w:color w:val="1F1F1F"/>
          <w:sz w:val="28"/>
          <w:szCs w:val="28"/>
        </w:rPr>
      </w:pPr>
    </w:p>
    <w:p w:rsidR="00542249" w:rsidRDefault="00016EAC">
      <w:pPr>
        <w:shd w:val="clear" w:color="auto" w:fill="FFFFFF"/>
        <w:spacing w:after="280" w:line="240" w:lineRule="auto"/>
        <w:ind w:firstLine="720"/>
        <w:jc w:val="both"/>
        <w:rPr>
          <w:rFonts w:ascii="Times New Roman" w:eastAsia="Times New Roman" w:hAnsi="Times New Roman" w:cs="Times New Roman"/>
          <w:b/>
          <w:bCs/>
          <w:color w:val="1F1F1F"/>
          <w:sz w:val="28"/>
          <w:szCs w:val="28"/>
        </w:rPr>
      </w:pPr>
      <w:r>
        <w:rPr>
          <w:rFonts w:ascii="Times New Roman" w:eastAsia="Times New Roman" w:hAnsi="Times New Roman" w:cs="Times New Roman"/>
          <w:b/>
          <w:bCs/>
          <w:color w:val="1F1F1F"/>
          <w:sz w:val="28"/>
          <w:szCs w:val="28"/>
        </w:rPr>
        <w:t>3.3. Цінності та принципи роботи Агенції</w:t>
      </w:r>
    </w:p>
    <w:p w:rsidR="00542249" w:rsidRDefault="00016EAC">
      <w:pPr>
        <w:numPr>
          <w:ilvl w:val="0"/>
          <w:numId w:val="16"/>
        </w:numPr>
        <w:shd w:val="clear" w:color="auto" w:fill="FFFFFF"/>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 xml:space="preserve">Прозорість та підзвітність: </w:t>
      </w:r>
      <w:r>
        <w:rPr>
          <w:rFonts w:ascii="Times New Roman" w:eastAsia="Times New Roman" w:hAnsi="Times New Roman" w:cs="Times New Roman"/>
          <w:color w:val="1F1F1F"/>
          <w:sz w:val="28"/>
          <w:szCs w:val="28"/>
        </w:rPr>
        <w:t>Відкриті правила гри, регулярна публічна звітність та відображення кожного проєкту в системах DREAM та власних цифрових дашбордах, в тому числі створення інформаційного сайту громади.</w:t>
      </w:r>
    </w:p>
    <w:p w:rsidR="00542249" w:rsidRDefault="00016EAC">
      <w:pPr>
        <w:numPr>
          <w:ilvl w:val="0"/>
          <w:numId w:val="16"/>
        </w:numPr>
        <w:shd w:val="clear" w:color="auto" w:fill="FFFFFF"/>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Сервісність:</w:t>
      </w:r>
      <w:r>
        <w:rPr>
          <w:rFonts w:ascii="Times New Roman" w:eastAsia="Times New Roman" w:hAnsi="Times New Roman" w:cs="Times New Roman"/>
          <w:color w:val="1F1F1F"/>
          <w:sz w:val="28"/>
          <w:szCs w:val="28"/>
        </w:rPr>
        <w:t>Орієнтація на потреби мешканців та бізнесу за принципом «єди</w:t>
      </w:r>
      <w:r>
        <w:rPr>
          <w:rFonts w:ascii="Times New Roman" w:eastAsia="Times New Roman" w:hAnsi="Times New Roman" w:cs="Times New Roman"/>
          <w:color w:val="1F1F1F"/>
          <w:sz w:val="28"/>
          <w:szCs w:val="28"/>
        </w:rPr>
        <w:t>ного вікна»; чіткі стандарти та терміни надання послуг.</w:t>
      </w:r>
    </w:p>
    <w:p w:rsidR="00542249" w:rsidRDefault="00016EAC">
      <w:pPr>
        <w:numPr>
          <w:ilvl w:val="0"/>
          <w:numId w:val="16"/>
        </w:numPr>
        <w:shd w:val="clear" w:color="auto" w:fill="FFFFFF"/>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Партнерство:</w:t>
      </w:r>
      <w:r>
        <w:rPr>
          <w:rFonts w:ascii="Times New Roman" w:eastAsia="Times New Roman" w:hAnsi="Times New Roman" w:cs="Times New Roman"/>
          <w:color w:val="1F1F1F"/>
          <w:sz w:val="28"/>
          <w:szCs w:val="28"/>
        </w:rPr>
        <w:t>Пріоритет спільного управління та взаємовигідної кооперації з владою, бізнесом, освітою, донорами та громадським сектором.</w:t>
      </w:r>
    </w:p>
    <w:p w:rsidR="00542249" w:rsidRDefault="00016EAC">
      <w:pPr>
        <w:numPr>
          <w:ilvl w:val="0"/>
          <w:numId w:val="16"/>
        </w:numPr>
        <w:shd w:val="clear" w:color="auto" w:fill="FFFFFF"/>
        <w:spacing w:after="28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lastRenderedPageBreak/>
        <w:t>Дані та доказовість:</w:t>
      </w:r>
      <w:r>
        <w:rPr>
          <w:rFonts w:ascii="Times New Roman" w:eastAsia="Times New Roman" w:hAnsi="Times New Roman" w:cs="Times New Roman"/>
          <w:color w:val="1F1F1F"/>
          <w:sz w:val="28"/>
          <w:szCs w:val="28"/>
        </w:rPr>
        <w:t>Прийняття рішень на основі аналітики, ГІС-дан</w:t>
      </w:r>
      <w:r>
        <w:rPr>
          <w:rFonts w:ascii="Times New Roman" w:eastAsia="Times New Roman" w:hAnsi="Times New Roman" w:cs="Times New Roman"/>
          <w:color w:val="1F1F1F"/>
          <w:sz w:val="28"/>
          <w:szCs w:val="28"/>
        </w:rPr>
        <w:t>их, соціологічних досліджень та перевірених показників, а не інтуїції.</w:t>
      </w:r>
    </w:p>
    <w:p w:rsidR="00542249" w:rsidRDefault="00542249">
      <w:pPr>
        <w:shd w:val="clear" w:color="auto" w:fill="FFFFFF"/>
        <w:spacing w:after="280" w:line="240" w:lineRule="auto"/>
        <w:ind w:firstLine="720"/>
        <w:jc w:val="both"/>
        <w:rPr>
          <w:rFonts w:ascii="Times New Roman" w:eastAsia="Times New Roman" w:hAnsi="Times New Roman" w:cs="Times New Roman"/>
          <w:b/>
          <w:bCs/>
          <w:color w:val="1F1F1F"/>
          <w:sz w:val="28"/>
          <w:szCs w:val="28"/>
        </w:rPr>
      </w:pPr>
    </w:p>
    <w:p w:rsidR="00542249" w:rsidRDefault="00016EAC">
      <w:pPr>
        <w:shd w:val="clear" w:color="auto" w:fill="FFFFFF"/>
        <w:spacing w:after="280" w:line="240" w:lineRule="auto"/>
        <w:ind w:firstLine="720"/>
        <w:jc w:val="both"/>
        <w:rPr>
          <w:rFonts w:ascii="Times New Roman" w:eastAsia="Times New Roman" w:hAnsi="Times New Roman" w:cs="Times New Roman"/>
          <w:b/>
          <w:bCs/>
          <w:color w:val="1F1F1F"/>
          <w:sz w:val="28"/>
          <w:szCs w:val="28"/>
        </w:rPr>
      </w:pPr>
      <w:r>
        <w:rPr>
          <w:rFonts w:ascii="Times New Roman" w:eastAsia="Times New Roman" w:hAnsi="Times New Roman" w:cs="Times New Roman"/>
          <w:b/>
          <w:bCs/>
          <w:color w:val="1F1F1F"/>
          <w:sz w:val="28"/>
          <w:szCs w:val="28"/>
        </w:rPr>
        <w:t>3.4. Взаємодія та управління</w:t>
      </w:r>
    </w:p>
    <w:p w:rsidR="00542249" w:rsidRDefault="00016EAC">
      <w:pPr>
        <w:shd w:val="clear" w:color="auto" w:fill="FFFFFF"/>
        <w:spacing w:after="280" w:line="240" w:lineRule="auto"/>
        <w:ind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color w:val="1F1F1F"/>
          <w:sz w:val="28"/>
          <w:szCs w:val="28"/>
        </w:rPr>
        <w:t>Агенція працює у тісній координації з виконавчим комітетом та профільними підрозділами ради (фінанси, земельні ресурси, архітектура), забезпечуючи узгоджен</w:t>
      </w:r>
      <w:r>
        <w:rPr>
          <w:rFonts w:ascii="Times New Roman" w:eastAsia="Times New Roman" w:hAnsi="Times New Roman" w:cs="Times New Roman"/>
          <w:color w:val="1F1F1F"/>
          <w:sz w:val="28"/>
          <w:szCs w:val="28"/>
        </w:rPr>
        <w:t>ість проєктів зі стратегічним плануванням громади.</w:t>
      </w:r>
    </w:p>
    <w:p w:rsidR="00542249" w:rsidRDefault="00016EAC">
      <w:pPr>
        <w:numPr>
          <w:ilvl w:val="0"/>
          <w:numId w:val="17"/>
        </w:numPr>
        <w:shd w:val="clear" w:color="auto" w:fill="FFFFFF"/>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Проєктна координація:</w:t>
      </w:r>
      <w:r>
        <w:rPr>
          <w:rFonts w:ascii="Times New Roman" w:eastAsia="Times New Roman" w:hAnsi="Times New Roman" w:cs="Times New Roman"/>
          <w:color w:val="1F1F1F"/>
          <w:sz w:val="28"/>
          <w:szCs w:val="28"/>
        </w:rPr>
        <w:t xml:space="preserve"> З іншими КП/КУ взаємодія будується на спільному формуванні потреб, підготовці технічних рішень та управлінні ризиками.</w:t>
      </w:r>
    </w:p>
    <w:p w:rsidR="00542249" w:rsidRDefault="00016EAC">
      <w:pPr>
        <w:numPr>
          <w:ilvl w:val="0"/>
          <w:numId w:val="17"/>
        </w:numPr>
        <w:shd w:val="clear" w:color="auto" w:fill="FFFFFF"/>
        <w:spacing w:after="28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 xml:space="preserve">Оцінка та контроль: </w:t>
      </w:r>
      <w:r>
        <w:rPr>
          <w:rFonts w:ascii="Times New Roman" w:eastAsia="Times New Roman" w:hAnsi="Times New Roman" w:cs="Times New Roman"/>
          <w:color w:val="1F1F1F"/>
          <w:sz w:val="28"/>
          <w:szCs w:val="28"/>
        </w:rPr>
        <w:t xml:space="preserve">Для забезпечення доброчесності та </w:t>
      </w:r>
      <w:r>
        <w:rPr>
          <w:rFonts w:ascii="Times New Roman" w:eastAsia="Times New Roman" w:hAnsi="Times New Roman" w:cs="Times New Roman"/>
          <w:color w:val="1F1F1F"/>
          <w:sz w:val="28"/>
          <w:szCs w:val="28"/>
        </w:rPr>
        <w:t>якості сервісу можуть впроваджуватися дорадчі механізми (наглядові ради, експертні групи) для оцінки ефективності Агенції засновниками.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КП «БАРР» має забезпечити узгодження проєкту з Комплексною програмою соціально-економічного розвитку громади та інтегрув</w:t>
      </w:r>
      <w:r>
        <w:rPr>
          <w:rFonts w:ascii="Times New Roman" w:eastAsia="Times New Roman" w:hAnsi="Times New Roman" w:cs="Times New Roman"/>
          <w:sz w:val="28"/>
          <w:szCs w:val="28"/>
        </w:rPr>
        <w:t>ати його з реалізацією ключових проєктів розвитку, зокрема: проєктами створення та розвитку індустріальних парків громади; проєктами розвитку інженерної, транспортної та логістичної інфраструктури; проєктами модернізації систем водопостачання та водовідвед</w:t>
      </w:r>
      <w:r>
        <w:rPr>
          <w:rFonts w:ascii="Times New Roman" w:eastAsia="Times New Roman" w:hAnsi="Times New Roman" w:cs="Times New Roman"/>
          <w:sz w:val="28"/>
          <w:szCs w:val="28"/>
        </w:rPr>
        <w:t>ення; проєктами енергоефективності та використання відновлюваних джерел енергії; проєктами залучення та супроводу інвестицій; а також з планами будівництва соціального житла.</w:t>
      </w:r>
    </w:p>
    <w:p w:rsidR="00542249" w:rsidRDefault="00542249">
      <w:pPr>
        <w:spacing w:after="280" w:line="240" w:lineRule="auto"/>
        <w:ind w:firstLine="720"/>
        <w:jc w:val="both"/>
        <w:rPr>
          <w:rFonts w:ascii="Times New Roman" w:eastAsia="Times New Roman" w:hAnsi="Times New Roman" w:cs="Times New Roman"/>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3.5. Пошук можливостей та реалізація проєкту створення публічного простору «Urba</w:t>
      </w:r>
      <w:r>
        <w:rPr>
          <w:rFonts w:ascii="Times New Roman" w:eastAsia="Times New Roman" w:hAnsi="Times New Roman" w:cs="Times New Roman"/>
          <w:b/>
          <w:bCs/>
          <w:sz w:val="28"/>
          <w:szCs w:val="28"/>
        </w:rPr>
        <w:t>n Space».</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Агенція визначає проєкт «Urban Space: Time Together» як інструмент утримання талановитої молоді, сприяння інституалізації спільнот та інтеграції ветеранів у міське життя. Це гібридний простір, що поєднує культурний центр, коворкінг та </w:t>
      </w:r>
      <w:r>
        <w:rPr>
          <w:rFonts w:ascii="Times New Roman" w:eastAsia="Times New Roman" w:hAnsi="Times New Roman" w:cs="Times New Roman"/>
          <w:sz w:val="28"/>
          <w:szCs w:val="28"/>
        </w:rPr>
        <w:t>освітню платформу.</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Стратегічні дії КП "БАРР":</w:t>
      </w:r>
    </w:p>
    <w:p w:rsidR="00542249" w:rsidRDefault="00016EAC">
      <w:pPr>
        <w:numPr>
          <w:ilvl w:val="0"/>
          <w:numId w:val="2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Ідентифікація об'єктів комунальної власності, що потребують реконструкції, та підготовка заявок для впровадження енергоефективних рішень.</w:t>
      </w:r>
    </w:p>
    <w:p w:rsidR="00542249" w:rsidRDefault="00016EAC">
      <w:pPr>
        <w:numPr>
          <w:ilvl w:val="0"/>
          <w:numId w:val="2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Інтеграція цифрових сервісів у фізичний простір, що забезпечує інтеграці</w:t>
      </w:r>
      <w:r>
        <w:rPr>
          <w:rFonts w:ascii="Times New Roman" w:eastAsia="Times New Roman" w:hAnsi="Times New Roman" w:cs="Times New Roman"/>
          <w:sz w:val="28"/>
          <w:szCs w:val="28"/>
        </w:rPr>
        <w:t>ю цифрових сервісів у фізичний простір об’єктів комунальної інфраструктури з метою підвищення ефективності управління, прозорості використання ресурсів та якості сервісів для користувачів.</w:t>
      </w:r>
    </w:p>
    <w:p w:rsidR="00542249" w:rsidRDefault="00016EAC">
      <w:pPr>
        <w:numPr>
          <w:ilvl w:val="0"/>
          <w:numId w:val="21"/>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Діяльність та розвиток через партнерство, з метою забезпечення відк</w:t>
      </w:r>
      <w:r>
        <w:rPr>
          <w:rFonts w:ascii="Times New Roman" w:eastAsia="Times New Roman" w:hAnsi="Times New Roman" w:cs="Times New Roman"/>
          <w:sz w:val="28"/>
          <w:szCs w:val="28"/>
        </w:rPr>
        <w:t xml:space="preserve">ритості, прозорості та залучення стейкхолдерів КП «БАРР» </w:t>
      </w:r>
    </w:p>
    <w:p w:rsidR="00542249" w:rsidRDefault="00016EAC">
      <w:pPr>
        <w:spacing w:after="280" w:line="240" w:lineRule="auto"/>
        <w:ind w:firstLine="720"/>
        <w:jc w:val="both"/>
        <w:rPr>
          <w:rFonts w:ascii="Times New Roman" w:eastAsia="Times New Roman" w:hAnsi="Times New Roman" w:cs="Times New Roman"/>
          <w:b/>
          <w:bCs/>
          <w:color w:val="1F1F1F"/>
          <w:sz w:val="28"/>
          <w:szCs w:val="28"/>
        </w:rPr>
      </w:pPr>
      <w:r>
        <w:rPr>
          <w:rFonts w:ascii="Times New Roman" w:eastAsia="Times New Roman" w:hAnsi="Times New Roman" w:cs="Times New Roman"/>
          <w:b/>
          <w:bCs/>
          <w:color w:val="1F1F1F"/>
          <w:sz w:val="28"/>
          <w:szCs w:val="28"/>
        </w:rPr>
        <w:lastRenderedPageBreak/>
        <w:t>3.6. Цифрова платформа та централізовані реєстри</w:t>
      </w:r>
    </w:p>
    <w:p w:rsidR="00542249" w:rsidRDefault="00016EAC">
      <w:pPr>
        <w:spacing w:after="280" w:line="240" w:lineRule="auto"/>
        <w:ind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color w:val="1F1F1F"/>
          <w:sz w:val="28"/>
          <w:szCs w:val="28"/>
        </w:rPr>
        <w:t>Впровадження CRM у Бучанській агенції розвитку є доцільним як базовий інструмент інституційної спроможності в умовах відбудови та активної роботи з д</w:t>
      </w:r>
      <w:r>
        <w:rPr>
          <w:rFonts w:ascii="Times New Roman" w:eastAsia="Times New Roman" w:hAnsi="Times New Roman" w:cs="Times New Roman"/>
          <w:color w:val="1F1F1F"/>
          <w:sz w:val="28"/>
          <w:szCs w:val="28"/>
        </w:rPr>
        <w:t>онорами й інвесторами. Єдина система централізує дані про партнерів, грантові заявки, проєкти та локальний бізнес, зменшуючи ризики втрати інформації й «інституційної пам’яті» під час ротації кадрів. CRM забезпечить прозорість і підзвітність через фіксацію</w:t>
      </w:r>
      <w:r>
        <w:rPr>
          <w:rFonts w:ascii="Times New Roman" w:eastAsia="Times New Roman" w:hAnsi="Times New Roman" w:cs="Times New Roman"/>
          <w:color w:val="1F1F1F"/>
          <w:sz w:val="28"/>
          <w:szCs w:val="28"/>
        </w:rPr>
        <w:t xml:space="preserve"> дій та стандартизацію процесів, що напряму підвищує довіру міжнародних партнерів.</w:t>
      </w:r>
    </w:p>
    <w:p w:rsidR="00542249" w:rsidRDefault="00016EAC">
      <w:pPr>
        <w:spacing w:after="280" w:line="240" w:lineRule="auto"/>
        <w:ind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color w:val="1F1F1F"/>
          <w:sz w:val="28"/>
          <w:szCs w:val="28"/>
        </w:rPr>
        <w:t>Власна розробка дозволяє перетворити грантові кошти з поточних витрат на довгостроковий актив громади та уникнути залежності від дорогих щорічних ліцензій, які складно підтр</w:t>
      </w:r>
      <w:r>
        <w:rPr>
          <w:rFonts w:ascii="Times New Roman" w:eastAsia="Times New Roman" w:hAnsi="Times New Roman" w:cs="Times New Roman"/>
          <w:color w:val="1F1F1F"/>
          <w:sz w:val="28"/>
          <w:szCs w:val="28"/>
        </w:rPr>
        <w:t xml:space="preserve">имувати після завершення гранту. Реєстр стейкхолдерів, проєктний офіс, комунікаційний модуль дасть швидкий практичний ефект уже на старті. </w:t>
      </w:r>
    </w:p>
    <w:p w:rsidR="00542249" w:rsidRDefault="00016EAC">
      <w:pPr>
        <w:spacing w:after="280" w:line="240" w:lineRule="auto"/>
        <w:ind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Склад цифрової екосистеми (Реєстри):</w:t>
      </w:r>
    </w:p>
    <w:p w:rsidR="00542249" w:rsidRDefault="00016EAC">
      <w:pPr>
        <w:numPr>
          <w:ilvl w:val="0"/>
          <w:numId w:val="14"/>
        </w:numPr>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 xml:space="preserve">Реєстр підприємців: </w:t>
      </w:r>
      <w:r>
        <w:rPr>
          <w:rFonts w:ascii="Times New Roman" w:eastAsia="Times New Roman" w:hAnsi="Times New Roman" w:cs="Times New Roman"/>
          <w:color w:val="1F1F1F"/>
          <w:sz w:val="28"/>
          <w:szCs w:val="28"/>
        </w:rPr>
        <w:t>Повна база малого, середнього та великого бізнесу громади з</w:t>
      </w:r>
      <w:r>
        <w:rPr>
          <w:rFonts w:ascii="Times New Roman" w:eastAsia="Times New Roman" w:hAnsi="Times New Roman" w:cs="Times New Roman"/>
          <w:color w:val="1F1F1F"/>
          <w:sz w:val="28"/>
          <w:szCs w:val="28"/>
        </w:rPr>
        <w:t xml:space="preserve"> сегментацією за сферами діяльності.</w:t>
      </w:r>
    </w:p>
    <w:p w:rsidR="00542249" w:rsidRDefault="00016EAC">
      <w:pPr>
        <w:numPr>
          <w:ilvl w:val="0"/>
          <w:numId w:val="14"/>
        </w:numPr>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 xml:space="preserve">Реєстр проєктів: </w:t>
      </w:r>
      <w:r>
        <w:rPr>
          <w:rFonts w:ascii="Times New Roman" w:eastAsia="Times New Roman" w:hAnsi="Times New Roman" w:cs="Times New Roman"/>
          <w:color w:val="1F1F1F"/>
          <w:sz w:val="28"/>
          <w:szCs w:val="28"/>
        </w:rPr>
        <w:t>Централізований трекер усіх інвестиційних та інфраструктурних проєктів громади (статус, бюджет, донор).</w:t>
      </w:r>
    </w:p>
    <w:p w:rsidR="00542249" w:rsidRDefault="00016EAC">
      <w:pPr>
        <w:numPr>
          <w:ilvl w:val="0"/>
          <w:numId w:val="14"/>
        </w:numPr>
        <w:spacing w:after="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 xml:space="preserve">Реєстр індустріальних парків: </w:t>
      </w:r>
      <w:r>
        <w:rPr>
          <w:rFonts w:ascii="Times New Roman" w:eastAsia="Times New Roman" w:hAnsi="Times New Roman" w:cs="Times New Roman"/>
          <w:color w:val="1F1F1F"/>
          <w:sz w:val="28"/>
          <w:szCs w:val="28"/>
        </w:rPr>
        <w:t xml:space="preserve">База даних усіх зареєстрованих парків (ІП «Бабинці», BTG, ІП «КИТ») </w:t>
      </w:r>
      <w:r>
        <w:rPr>
          <w:rFonts w:ascii="Times New Roman" w:eastAsia="Times New Roman" w:hAnsi="Times New Roman" w:cs="Times New Roman"/>
          <w:color w:val="1F1F1F"/>
          <w:sz w:val="28"/>
          <w:szCs w:val="28"/>
        </w:rPr>
        <w:t>з інформацією про доступні потужності та резидентов.</w:t>
      </w:r>
    </w:p>
    <w:p w:rsidR="00542249" w:rsidRDefault="00016EAC">
      <w:pPr>
        <w:numPr>
          <w:ilvl w:val="0"/>
          <w:numId w:val="14"/>
        </w:numPr>
        <w:spacing w:after="280" w:line="240" w:lineRule="auto"/>
        <w:ind w:left="0" w:firstLine="720"/>
        <w:jc w:val="both"/>
        <w:rPr>
          <w:rFonts w:ascii="Times New Roman" w:eastAsia="Times New Roman" w:hAnsi="Times New Roman" w:cs="Times New Roman"/>
          <w:color w:val="1F1F1F"/>
          <w:sz w:val="28"/>
          <w:szCs w:val="28"/>
        </w:rPr>
      </w:pPr>
      <w:r>
        <w:rPr>
          <w:rFonts w:ascii="Times New Roman" w:eastAsia="Times New Roman" w:hAnsi="Times New Roman" w:cs="Times New Roman"/>
          <w:b/>
          <w:bCs/>
          <w:color w:val="1F1F1F"/>
          <w:sz w:val="28"/>
          <w:szCs w:val="28"/>
        </w:rPr>
        <w:t>Реєстр громадських організацій (ГО):</w:t>
      </w:r>
      <w:r>
        <w:rPr>
          <w:rFonts w:ascii="Times New Roman" w:eastAsia="Times New Roman" w:hAnsi="Times New Roman" w:cs="Times New Roman"/>
          <w:color w:val="1F1F1F"/>
          <w:sz w:val="28"/>
          <w:szCs w:val="28"/>
        </w:rPr>
        <w:t>Облік активних стейкхолдерів для залучення до спільного управління розвитком.</w:t>
      </w:r>
    </w:p>
    <w:p w:rsidR="00542249" w:rsidRDefault="00542249">
      <w:pPr>
        <w:spacing w:after="280" w:line="240" w:lineRule="auto"/>
        <w:ind w:firstLine="720"/>
        <w:jc w:val="both"/>
        <w:rPr>
          <w:rFonts w:ascii="Times New Roman" w:eastAsia="Times New Roman" w:hAnsi="Times New Roman" w:cs="Times New Roman"/>
          <w:color w:val="1F1F1F"/>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br w:type="page"/>
      </w:r>
    </w:p>
    <w:p w:rsidR="00542249" w:rsidRDefault="00016EAC">
      <w:pPr>
        <w:spacing w:after="28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          РОЗДІЛ 4. СТРАТЕГІЧНІ ЦІЛІ ТА ПРІОРИТЕТНІ ПРОЄКТИ (2026–2028)</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Відповідно до запиту засновника, КП "БАРР" фокусує свою діяльність на чотирьох флагманських проєктах, які інтегруються у загальну систему публічних інвестицій громади.</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4.1. Реалізація</w:t>
      </w:r>
      <w:r>
        <w:rPr>
          <w:rFonts w:ascii="Times New Roman" w:eastAsia="Times New Roman" w:hAnsi="Times New Roman" w:cs="Times New Roman"/>
          <w:b/>
          <w:bCs/>
          <w:sz w:val="28"/>
          <w:szCs w:val="28"/>
        </w:rPr>
        <w:t xml:space="preserve"> муніципального індустріального парку «Бабинці»</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Цей проєкт є найбільш амбітним завданням Агенції, де КП "БАРР" виступає безпосереднім реалізатором та керуючою компанією. ІП «Бабинці» — це приклад парку, що перебуває у комунальній власності та орієнтований </w:t>
      </w:r>
      <w:r>
        <w:rPr>
          <w:rFonts w:ascii="Times New Roman" w:eastAsia="Times New Roman" w:hAnsi="Times New Roman" w:cs="Times New Roman"/>
          <w:sz w:val="28"/>
          <w:szCs w:val="28"/>
        </w:rPr>
        <w:t>на підтримку релокованого бізнесу та створення робочих місць у сільській місцевості.</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КП "БАРР" розробляє концепцію, яка включає не лише виробничі площі, а й соціальні компоненти Особливістю проєкту є залучення німецького державного благодійного фонду для в</w:t>
      </w:r>
      <w:r>
        <w:rPr>
          <w:rFonts w:ascii="Times New Roman" w:eastAsia="Times New Roman" w:hAnsi="Times New Roman" w:cs="Times New Roman"/>
          <w:sz w:val="28"/>
          <w:szCs w:val="28"/>
        </w:rPr>
        <w:t>становлення модульних містечок. Це дозвояє вирішити проблему розселення працівників релокованих підприємств зі сходу та півдня України, забезпечуючи оперативний запуск виробництва.</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Завдання КП "БАРР" на 2026–2028 роки:</w:t>
      </w:r>
    </w:p>
    <w:p w:rsidR="00542249" w:rsidRDefault="00016EAC">
      <w:pPr>
        <w:numPr>
          <w:ilvl w:val="0"/>
          <w:numId w:val="18"/>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Створити Концепцію </w:t>
      </w:r>
      <w:r>
        <w:rPr>
          <w:rFonts w:ascii="Times New Roman" w:eastAsia="Times New Roman" w:hAnsi="Times New Roman" w:cs="Times New Roman"/>
          <w:sz w:val="28"/>
          <w:szCs w:val="28"/>
        </w:rPr>
        <w:t>муніципального ІП «Бабинці».</w:t>
      </w:r>
    </w:p>
    <w:p w:rsidR="00542249" w:rsidRDefault="00016EAC">
      <w:pPr>
        <w:numPr>
          <w:ilvl w:val="0"/>
          <w:numId w:val="18"/>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Забезпечити реєстрацію ІП «Бабинці» у Державному реєстрі індустріальних парків для отримання коштів з державного бюджету на мережі та дороги.</w:t>
      </w:r>
    </w:p>
    <w:p w:rsidR="00542249" w:rsidRDefault="00016EAC">
      <w:pPr>
        <w:numPr>
          <w:ilvl w:val="0"/>
          <w:numId w:val="18"/>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Виступити замовником розроблення ПКД на нове будівництво інфраструктури парку.</w:t>
      </w:r>
    </w:p>
    <w:p w:rsidR="00542249" w:rsidRDefault="00016EAC">
      <w:pPr>
        <w:numPr>
          <w:ilvl w:val="0"/>
          <w:numId w:val="18"/>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Органі</w:t>
      </w:r>
      <w:r>
        <w:rPr>
          <w:rFonts w:ascii="Times New Roman" w:eastAsia="Times New Roman" w:hAnsi="Times New Roman" w:cs="Times New Roman"/>
          <w:sz w:val="28"/>
          <w:szCs w:val="28"/>
        </w:rPr>
        <w:t>зувати маркетинг майданчик серед експортоорієнтованих галузей: харчова переробка (враховуючи аграрний потенціал регіону), легка промисловість, виробництво будівельних матеріалів для відбудови.</w:t>
      </w:r>
    </w:p>
    <w:p w:rsidR="00542249" w:rsidRDefault="00542249">
      <w:pPr>
        <w:spacing w:after="280" w:line="240" w:lineRule="auto"/>
        <w:ind w:firstLine="720"/>
        <w:jc w:val="both"/>
        <w:rPr>
          <w:rFonts w:ascii="Times New Roman" w:eastAsia="Times New Roman" w:hAnsi="Times New Roman" w:cs="Times New Roman"/>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4.2. Сприяння розвитку індустріального кластеру «Bucha Techno </w:t>
      </w:r>
      <w:r>
        <w:rPr>
          <w:rFonts w:ascii="Times New Roman" w:eastAsia="Times New Roman" w:hAnsi="Times New Roman" w:cs="Times New Roman"/>
          <w:b/>
          <w:bCs/>
          <w:sz w:val="28"/>
          <w:szCs w:val="28"/>
        </w:rPr>
        <w:t>Garden»</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відміну від парку в Бабинцях, де КП "БАРР" є оператором, у проєкті Bucha Techno Garden</w:t>
      </w:r>
      <w:r>
        <w:rPr>
          <w:rFonts w:ascii="Times New Roman" w:eastAsia="Times New Roman" w:hAnsi="Times New Roman" w:cs="Times New Roman"/>
          <w:sz w:val="28"/>
          <w:szCs w:val="28"/>
        </w:rPr>
        <w:t xml:space="preserve"> (BTG) та інших створених приватних індустріальних парків в громаді, Агенція виконує роль стратегічного фасилітатора та партнера великих девелоперів. BTG планується як масштабний логістично-технологічний хаб та територія виробничо-промислового кластеру.</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lastRenderedPageBreak/>
        <w:t>Роль КП "БАРР"» у проєкті:</w:t>
      </w:r>
    </w:p>
    <w:p w:rsidR="00542249" w:rsidRDefault="00016EAC">
      <w:pPr>
        <w:numPr>
          <w:ilvl w:val="0"/>
          <w:numId w:val="19"/>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Інфраструктурна координація:</w:t>
      </w:r>
      <w:r>
        <w:rPr>
          <w:rFonts w:ascii="Times New Roman" w:eastAsia="Times New Roman" w:hAnsi="Times New Roman" w:cs="Times New Roman"/>
          <w:sz w:val="28"/>
          <w:szCs w:val="28"/>
        </w:rPr>
        <w:t xml:space="preserve"> КП "БАРР" супроводжує проєкт будівництва енергетичного вузу «Буча Техногарден» потужністю до 64 МВА, що включає газотурбінні та газопоршневі установки.</w:t>
      </w:r>
      <w:r>
        <w:rPr>
          <w:rFonts w:ascii="Times New Roman" w:eastAsia="Times New Roman" w:hAnsi="Times New Roman" w:cs="Times New Roman"/>
          <w:sz w:val="28"/>
          <w:szCs w:val="28"/>
          <w:vertAlign w:val="superscript"/>
        </w:rPr>
        <w:t xml:space="preserve"> </w:t>
      </w:r>
      <w:r>
        <w:rPr>
          <w:rFonts w:ascii="Times New Roman" w:eastAsia="Times New Roman" w:hAnsi="Times New Roman" w:cs="Times New Roman"/>
          <w:sz w:val="28"/>
          <w:szCs w:val="28"/>
        </w:rPr>
        <w:t>Це забезпечить енергонезалежність кластеру та ст</w:t>
      </w:r>
      <w:r>
        <w:rPr>
          <w:rFonts w:ascii="Times New Roman" w:eastAsia="Times New Roman" w:hAnsi="Times New Roman" w:cs="Times New Roman"/>
          <w:sz w:val="28"/>
          <w:szCs w:val="28"/>
        </w:rPr>
        <w:t>абільність для резидентів.</w:t>
      </w:r>
    </w:p>
    <w:p w:rsidR="00542249" w:rsidRDefault="00016EAC">
      <w:pPr>
        <w:numPr>
          <w:ilvl w:val="0"/>
          <w:numId w:val="19"/>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Локалізація:</w:t>
      </w:r>
      <w:r>
        <w:rPr>
          <w:rFonts w:ascii="Times New Roman" w:eastAsia="Times New Roman" w:hAnsi="Times New Roman" w:cs="Times New Roman"/>
          <w:sz w:val="28"/>
          <w:szCs w:val="28"/>
        </w:rPr>
        <w:t xml:space="preserve"> Сприяння залученню нових резидентів індустріального парку.</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BTG стане магнітом для інновацій, що змінить профіль економіки Бучанської громади.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Додатково КП «БАРР» забезпечує цифрову підтримку розвитку кластеру шляхом </w:t>
      </w:r>
      <w:r>
        <w:rPr>
          <w:rFonts w:ascii="Times New Roman" w:eastAsia="Times New Roman" w:hAnsi="Times New Roman" w:cs="Times New Roman"/>
          <w:sz w:val="28"/>
          <w:szCs w:val="28"/>
        </w:rPr>
        <w:t>створення Інтерактивної карти промислового кластеру, яка слугуватиме інвестиційним навігатором для потенційних резидентів, девелоперів та міжнародних партнерів, спрощуючи процес прийняття рішень щодо розміщення виробництв та логістики.</w:t>
      </w:r>
    </w:p>
    <w:p w:rsidR="00542249" w:rsidRDefault="00542249">
      <w:pPr>
        <w:spacing w:after="280" w:line="240" w:lineRule="auto"/>
        <w:ind w:firstLine="720"/>
        <w:jc w:val="both"/>
        <w:rPr>
          <w:rFonts w:ascii="Times New Roman" w:eastAsia="Times New Roman" w:hAnsi="Times New Roman" w:cs="Times New Roman"/>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4.3. Розвиток рекре</w:t>
      </w:r>
      <w:r>
        <w:rPr>
          <w:rFonts w:ascii="Times New Roman" w:eastAsia="Times New Roman" w:hAnsi="Times New Roman" w:cs="Times New Roman"/>
          <w:b/>
          <w:bCs/>
          <w:sz w:val="28"/>
          <w:szCs w:val="28"/>
        </w:rPr>
        <w:t>аційно-реабілітаційного проєкту «Мироцькі озера»</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Проєкт «Мироцькі озера» є ключовим у напрямку соціальної відповідальності та екологічного туризму. КП "БАРР" сприяє реалізації цієї ініціативи через залучення фінансування в межах ДПП (державно-приватного па</w:t>
      </w:r>
      <w:r>
        <w:rPr>
          <w:rFonts w:ascii="Times New Roman" w:eastAsia="Times New Roman" w:hAnsi="Times New Roman" w:cs="Times New Roman"/>
          <w:sz w:val="28"/>
          <w:szCs w:val="28"/>
        </w:rPr>
        <w:t>ртнерства) та грантів.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Концептуальні складові:</w:t>
      </w:r>
    </w:p>
    <w:p w:rsidR="00542249" w:rsidRDefault="00016EAC">
      <w:pPr>
        <w:numPr>
          <w:ilvl w:val="0"/>
          <w:numId w:val="20"/>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Екологічний захист:</w:t>
      </w:r>
      <w:r>
        <w:rPr>
          <w:rFonts w:ascii="Times New Roman" w:eastAsia="Times New Roman" w:hAnsi="Times New Roman" w:cs="Times New Roman"/>
          <w:sz w:val="28"/>
          <w:szCs w:val="28"/>
        </w:rPr>
        <w:t xml:space="preserve"> Припинення хаотичної забудови та очищення системи озер у с. Мироцьке.</w:t>
      </w:r>
    </w:p>
    <w:p w:rsidR="00542249" w:rsidRDefault="00016EAC">
      <w:pPr>
        <w:numPr>
          <w:ilvl w:val="0"/>
          <w:numId w:val="20"/>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Ветеранська реабілітація:</w:t>
      </w:r>
      <w:r>
        <w:rPr>
          <w:rFonts w:ascii="Times New Roman" w:eastAsia="Times New Roman" w:hAnsi="Times New Roman" w:cs="Times New Roman"/>
          <w:sz w:val="28"/>
          <w:szCs w:val="28"/>
        </w:rPr>
        <w:t xml:space="preserve"> Створення інклюзивних модульних будинків та безбар’єрного доступу до води для психологічного </w:t>
      </w:r>
      <w:r>
        <w:rPr>
          <w:rFonts w:ascii="Times New Roman" w:eastAsia="Times New Roman" w:hAnsi="Times New Roman" w:cs="Times New Roman"/>
          <w:sz w:val="28"/>
          <w:szCs w:val="28"/>
        </w:rPr>
        <w:t>та фізичного відновлення постраждалих від війни та сприяння розвитку внутрішнього туризму.</w:t>
      </w:r>
    </w:p>
    <w:p w:rsidR="00542249" w:rsidRDefault="00016EAC">
      <w:pPr>
        <w:numPr>
          <w:ilvl w:val="0"/>
          <w:numId w:val="20"/>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Дитячий розвиток:</w:t>
      </w:r>
      <w:r>
        <w:rPr>
          <w:rFonts w:ascii="Times New Roman" w:eastAsia="Times New Roman" w:hAnsi="Times New Roman" w:cs="Times New Roman"/>
          <w:sz w:val="28"/>
          <w:szCs w:val="28"/>
        </w:rPr>
        <w:t xml:space="preserve"> Будівництво дитячого простору та спортивних майданчиків на території для надання можливості комфортного відпочинку сім'єю в межах території громади</w:t>
      </w:r>
      <w:r>
        <w:rPr>
          <w:rFonts w:ascii="Times New Roman" w:eastAsia="Times New Roman" w:hAnsi="Times New Roman" w:cs="Times New Roman"/>
          <w:sz w:val="28"/>
          <w:szCs w:val="28"/>
        </w:rPr>
        <w:t>.</w:t>
      </w:r>
    </w:p>
    <w:p w:rsidR="00542249" w:rsidRDefault="00016EAC">
      <w:pPr>
        <w:numPr>
          <w:ilvl w:val="0"/>
          <w:numId w:val="20"/>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Економічний ефект:</w:t>
      </w:r>
      <w:r>
        <w:rPr>
          <w:rFonts w:ascii="Times New Roman" w:eastAsia="Times New Roman" w:hAnsi="Times New Roman" w:cs="Times New Roman"/>
          <w:sz w:val="28"/>
          <w:szCs w:val="28"/>
        </w:rPr>
        <w:t xml:space="preserve"> Створення об'єкта зеленого туризму, який генеруватиме дохід через оренду проживання в модульних будинках біля озера, оренди майданчика торгівлі для локальних бізнесів та крафтярів, сприяння розвитку фермерства в регіоні, збільшення при</w:t>
      </w:r>
      <w:r>
        <w:rPr>
          <w:rFonts w:ascii="Times New Roman" w:eastAsia="Times New Roman" w:hAnsi="Times New Roman" w:cs="Times New Roman"/>
          <w:sz w:val="28"/>
          <w:szCs w:val="28"/>
        </w:rPr>
        <w:t xml:space="preserve">току населення та впо в Мироцький старостат Бучанської громади. </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4.4.Цифрова інфраструктура та інвестиційна екосистема громади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Ключовим чинником розвитку громади є наявність сучасних цифрових інструментів, що забезпечують прозорість, </w:t>
      </w:r>
      <w:r>
        <w:rPr>
          <w:rFonts w:ascii="Times New Roman" w:eastAsia="Times New Roman" w:hAnsi="Times New Roman" w:cs="Times New Roman"/>
          <w:sz w:val="28"/>
          <w:szCs w:val="28"/>
        </w:rPr>
        <w:t>доступність даних та ефективну комунікацію з бізнесом, мешканцями та міжнародними партнерами.</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Однією зі стратегічних цілей КП «БАРР» на 2026–2028 роки є формування цілісної цифрової інвестиційної екосистеми громади через реалізацію цифрових проєктів: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Порта</w:t>
      </w:r>
      <w:r>
        <w:rPr>
          <w:rFonts w:ascii="Times New Roman" w:eastAsia="Times New Roman" w:hAnsi="Times New Roman" w:cs="Times New Roman"/>
          <w:b/>
          <w:bCs/>
          <w:sz w:val="28"/>
          <w:szCs w:val="28"/>
        </w:rPr>
        <w:t>л громади</w:t>
      </w:r>
      <w:r>
        <w:rPr>
          <w:rFonts w:ascii="Times New Roman" w:eastAsia="Times New Roman" w:hAnsi="Times New Roman" w:cs="Times New Roman"/>
          <w:b/>
          <w:bCs/>
          <w:sz w:val="28"/>
          <w:szCs w:val="28"/>
        </w:rPr>
        <w:br/>
      </w:r>
      <w:r>
        <w:rPr>
          <w:rFonts w:ascii="Times New Roman" w:eastAsia="Times New Roman" w:hAnsi="Times New Roman" w:cs="Times New Roman"/>
          <w:b/>
          <w:bCs/>
          <w:sz w:val="28"/>
          <w:szCs w:val="28"/>
        </w:rPr>
        <w:tab/>
      </w:r>
      <w:r>
        <w:rPr>
          <w:rFonts w:ascii="Times New Roman" w:eastAsia="Times New Roman" w:hAnsi="Times New Roman" w:cs="Times New Roman"/>
          <w:sz w:val="28"/>
          <w:szCs w:val="28"/>
        </w:rPr>
        <w:t xml:space="preserve"> Створення єдиного офіційного цифрового порталу громади як базової платформи для представлення стратегічних проєктів, інвестиційних можливостей, публічних ініціатив та сервісів. Портал стане інструментом комунікації між громадою, інвесторами, до</w:t>
      </w:r>
      <w:r>
        <w:rPr>
          <w:rFonts w:ascii="Times New Roman" w:eastAsia="Times New Roman" w:hAnsi="Times New Roman" w:cs="Times New Roman"/>
          <w:sz w:val="28"/>
          <w:szCs w:val="28"/>
        </w:rPr>
        <w:t>норами та бізнесом, а також основою для подальшої цифровізації управлінських процесів.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Інтерактивна карта промислового кластеру</w:t>
      </w:r>
      <w:r>
        <w:rPr>
          <w:rFonts w:ascii="Times New Roman" w:eastAsia="Times New Roman" w:hAnsi="Times New Roman" w:cs="Times New Roman"/>
          <w:sz w:val="28"/>
          <w:szCs w:val="28"/>
        </w:rPr>
        <w:br/>
        <w:t xml:space="preserve"> Розробка інтерактивної інвестиційної карти індустріальних територій громади, зокрема промислового кластеру Bucha Techno Garden </w:t>
      </w:r>
      <w:r>
        <w:rPr>
          <w:rFonts w:ascii="Times New Roman" w:eastAsia="Times New Roman" w:hAnsi="Times New Roman" w:cs="Times New Roman"/>
          <w:sz w:val="28"/>
          <w:szCs w:val="28"/>
        </w:rPr>
        <w:t>та суміжних майданчиків. Карта відображатиме земельні ділянки, інженерну інфраструктуру, логістику та статус територій і слугуватиме практичним інструментом для залучення інвесторів та прийняття управлінських рішень.</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Bucha Smart Space</w:t>
      </w:r>
      <w:r>
        <w:rPr>
          <w:rFonts w:ascii="Times New Roman" w:eastAsia="Times New Roman" w:hAnsi="Times New Roman" w:cs="Times New Roman"/>
          <w:sz w:val="28"/>
          <w:szCs w:val="28"/>
        </w:rPr>
        <w:br/>
        <w:t xml:space="preserve"> Створення фізично-ци</w:t>
      </w:r>
      <w:r>
        <w:rPr>
          <w:rFonts w:ascii="Times New Roman" w:eastAsia="Times New Roman" w:hAnsi="Times New Roman" w:cs="Times New Roman"/>
          <w:sz w:val="28"/>
          <w:szCs w:val="28"/>
        </w:rPr>
        <w:t>фрового простору для роботи, навчання, нетворкінгу та спільної реалізації проєктів у сфері інновацій, відновлення та підприємництва. Простір функціонуватиме як платформа для взаємодії бізнесу, молоді, експертного середовища та міжнародних партнерів громади</w:t>
      </w:r>
      <w:r>
        <w:rPr>
          <w:rFonts w:ascii="Times New Roman" w:eastAsia="Times New Roman" w:hAnsi="Times New Roman" w:cs="Times New Roman"/>
          <w:sz w:val="28"/>
          <w:szCs w:val="28"/>
        </w:rPr>
        <w:t>.</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Реалізація зазначених проєктів підсилює інші стратегічні напрями діяльності КП «БАРР», зокрема розвиток індустріальних парків та кластерів, підвищує інвестиційну привабливість громади та формує сучасну управлінську інфраструктуру територіального розвитку</w:t>
      </w:r>
      <w:r>
        <w:rPr>
          <w:rFonts w:ascii="Times New Roman" w:eastAsia="Times New Roman" w:hAnsi="Times New Roman" w:cs="Times New Roman"/>
          <w:sz w:val="28"/>
          <w:szCs w:val="28"/>
        </w:rPr>
        <w:t>.</w:t>
      </w:r>
    </w:p>
    <w:p w:rsidR="00542249" w:rsidRDefault="00542249">
      <w:pPr>
        <w:spacing w:after="280" w:line="240" w:lineRule="auto"/>
        <w:ind w:firstLine="720"/>
        <w:jc w:val="both"/>
        <w:rPr>
          <w:rFonts w:ascii="Times New Roman" w:eastAsia="Times New Roman" w:hAnsi="Times New Roman" w:cs="Times New Roman"/>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4.5. Логіка стратегічного зростання та диверсифікації діяльності КП "БАРР"</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Посилення ролі КП "БАРР" у вже сформованій для громади моделі публічних інвестицій та індустріального розвитку визначає наступні проєкти:</w:t>
      </w:r>
    </w:p>
    <w:p w:rsidR="00542249" w:rsidRDefault="00016EAC">
      <w:pPr>
        <w:numPr>
          <w:ilvl w:val="0"/>
          <w:numId w:val="10"/>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Реалізація муніципального </w:t>
      </w:r>
      <w:r>
        <w:rPr>
          <w:rFonts w:ascii="Times New Roman" w:eastAsia="Times New Roman" w:hAnsi="Times New Roman" w:cs="Times New Roman"/>
          <w:sz w:val="28"/>
          <w:szCs w:val="28"/>
        </w:rPr>
        <w:t>індустріального парку «Бабинці».</w:t>
      </w:r>
    </w:p>
    <w:p w:rsidR="00542249" w:rsidRDefault="00016EAC">
      <w:pPr>
        <w:numPr>
          <w:ilvl w:val="0"/>
          <w:numId w:val="10"/>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Реєстрація ІП «Бабинці» у Державному реєстрі індустріальних парків.</w:t>
      </w:r>
    </w:p>
    <w:p w:rsidR="00542249" w:rsidRDefault="00016EAC">
      <w:pPr>
        <w:numPr>
          <w:ilvl w:val="0"/>
          <w:numId w:val="10"/>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Розроблення ПКД, підготовка та розвиток інженерної інфраструктури.</w:t>
      </w:r>
    </w:p>
    <w:p w:rsidR="00542249" w:rsidRDefault="00016EAC">
      <w:pPr>
        <w:numPr>
          <w:ilvl w:val="0"/>
          <w:numId w:val="10"/>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Маркетинг майданчика серед експортоорієнтованих галузей.</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Очікуваний результат:</w:t>
      </w:r>
    </w:p>
    <w:p w:rsidR="00542249" w:rsidRDefault="00016EAC">
      <w:pPr>
        <w:numPr>
          <w:ilvl w:val="0"/>
          <w:numId w:val="26"/>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Закріплен</w:t>
      </w:r>
      <w:r>
        <w:rPr>
          <w:rFonts w:ascii="Times New Roman" w:eastAsia="Times New Roman" w:hAnsi="Times New Roman" w:cs="Times New Roman"/>
          <w:sz w:val="28"/>
          <w:szCs w:val="28"/>
        </w:rPr>
        <w:t>ня статусу КП "БАРР" як ключового оператора індустріальних парків громади.</w:t>
      </w:r>
    </w:p>
    <w:p w:rsidR="00542249" w:rsidRDefault="00016EAC">
      <w:pPr>
        <w:numPr>
          <w:ilvl w:val="0"/>
          <w:numId w:val="26"/>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Запуск першої черги індустріального парку та залучення резидентів.</w:t>
      </w:r>
    </w:p>
    <w:p w:rsidR="00542249" w:rsidRDefault="00016EAC">
      <w:pPr>
        <w:numPr>
          <w:ilvl w:val="0"/>
          <w:numId w:val="26"/>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нових робочих місць і зростання надходжень до місцевого бюджету.</w:t>
      </w:r>
    </w:p>
    <w:p w:rsidR="00542249" w:rsidRDefault="00016EAC">
      <w:pPr>
        <w:numPr>
          <w:ilvl w:val="0"/>
          <w:numId w:val="26"/>
        </w:numPr>
        <w:spacing w:after="280" w:line="240" w:lineRule="auto"/>
        <w:ind w:left="0" w:firstLine="720"/>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Зменшення </w:t>
      </w:r>
      <w:r>
        <w:rPr>
          <w:rFonts w:ascii="Times New Roman" w:eastAsia="Times New Roman" w:hAnsi="Times New Roman" w:cs="Times New Roman"/>
          <w:sz w:val="28"/>
          <w:szCs w:val="28"/>
        </w:rPr>
        <w:t>інфраструктурних ризиків за рахунок державного співфінансування.</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Розширення функцій КП "БАРР" у межах територіального розвитку через комплексні соціально-економічні через наступні проєкти:</w:t>
      </w:r>
    </w:p>
    <w:p w:rsidR="00542249" w:rsidRDefault="00016EAC">
      <w:pPr>
        <w:numPr>
          <w:ilvl w:val="0"/>
          <w:numId w:val="30"/>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Інтеграція соціальної інфраструктури в ІП «Бабинці» (модульні місте</w:t>
      </w:r>
      <w:r>
        <w:rPr>
          <w:rFonts w:ascii="Times New Roman" w:eastAsia="Times New Roman" w:hAnsi="Times New Roman" w:cs="Times New Roman"/>
          <w:sz w:val="28"/>
          <w:szCs w:val="28"/>
        </w:rPr>
        <w:t>чка).</w:t>
      </w:r>
    </w:p>
    <w:p w:rsidR="00542249" w:rsidRDefault="00016EAC">
      <w:pPr>
        <w:numPr>
          <w:ilvl w:val="0"/>
          <w:numId w:val="30"/>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Реалізація рекреаційно-реабілітаційного проєкту «Мироцькі озера».</w:t>
      </w:r>
    </w:p>
    <w:p w:rsidR="00542249" w:rsidRDefault="00016EAC">
      <w:pPr>
        <w:numPr>
          <w:ilvl w:val="0"/>
          <w:numId w:val="30"/>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Впровадження ветеранських, інклюзивних та екологічних компонентів.</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Очікуваний результат:</w:t>
      </w:r>
    </w:p>
    <w:p w:rsidR="00542249" w:rsidRDefault="00016EAC">
      <w:pPr>
        <w:numPr>
          <w:ilvl w:val="0"/>
          <w:numId w:val="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привабливості громади для працівників і інвесторів.</w:t>
      </w:r>
    </w:p>
    <w:p w:rsidR="00542249" w:rsidRDefault="00016EAC">
      <w:pPr>
        <w:numPr>
          <w:ilvl w:val="0"/>
          <w:numId w:val="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Посилення соціальної складової е</w:t>
      </w:r>
      <w:r>
        <w:rPr>
          <w:rFonts w:ascii="Times New Roman" w:eastAsia="Times New Roman" w:hAnsi="Times New Roman" w:cs="Times New Roman"/>
          <w:sz w:val="28"/>
          <w:szCs w:val="28"/>
        </w:rPr>
        <w:t>кономічного розвитку.</w:t>
      </w:r>
    </w:p>
    <w:p w:rsidR="00542249" w:rsidRDefault="00016EAC">
      <w:pPr>
        <w:numPr>
          <w:ilvl w:val="0"/>
          <w:numId w:val="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Розширення доступу до грантового та донорського фінансування.</w:t>
      </w:r>
    </w:p>
    <w:p w:rsidR="00542249" w:rsidRDefault="00016EAC">
      <w:pPr>
        <w:numPr>
          <w:ilvl w:val="0"/>
          <w:numId w:val="2"/>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Формування комплексних проєктів з довгостроковим ефектом для громади.</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Масштабування управлінської та координаційної експертизи КП "БАРР" на нові інвестиційні сегменти перед</w:t>
      </w:r>
      <w:r>
        <w:rPr>
          <w:rFonts w:ascii="Times New Roman" w:eastAsia="Times New Roman" w:hAnsi="Times New Roman" w:cs="Times New Roman"/>
          <w:b/>
          <w:bCs/>
          <w:sz w:val="28"/>
          <w:szCs w:val="28"/>
        </w:rPr>
        <w:t>бачає:</w:t>
      </w:r>
    </w:p>
    <w:p w:rsidR="00542249" w:rsidRDefault="00016EAC">
      <w:pPr>
        <w:numPr>
          <w:ilvl w:val="0"/>
          <w:numId w:val="37"/>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Сприяння розвитку індустріального кластеру «Bucha Techno Garden».</w:t>
      </w:r>
    </w:p>
    <w:p w:rsidR="00542249" w:rsidRDefault="00016EAC">
      <w:pPr>
        <w:numPr>
          <w:ilvl w:val="0"/>
          <w:numId w:val="37"/>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Взаємодія з великими девелоперами та міжнародними інвесторами.</w:t>
      </w:r>
    </w:p>
    <w:p w:rsidR="00542249" w:rsidRDefault="00016EAC">
      <w:pPr>
        <w:numPr>
          <w:ilvl w:val="0"/>
          <w:numId w:val="37"/>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Супровід отримання статусу проєктів зі значними інвестиціями («інвестняні»).</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 також розвиток цифрових інструментів інвестиційного супроводу, зокрема Порталу громади, Інтерактивної карти промислового кластеру та простору Bucha Smart Space, які забезпечують прозорість, доступність даних та системну комунікацію з інвесторами, бізнесо</w:t>
      </w:r>
      <w:r>
        <w:rPr>
          <w:rFonts w:ascii="Times New Roman" w:eastAsia="Times New Roman" w:hAnsi="Times New Roman" w:cs="Times New Roman"/>
          <w:sz w:val="28"/>
          <w:szCs w:val="28"/>
        </w:rPr>
        <w:t>м і донорами.</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Очікуваний результат:</w:t>
      </w:r>
    </w:p>
    <w:p w:rsidR="00542249" w:rsidRDefault="00016EAC">
      <w:pPr>
        <w:numPr>
          <w:ilvl w:val="0"/>
          <w:numId w:val="3"/>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Залучення великих приватних інвестицій у громаду.</w:t>
      </w:r>
    </w:p>
    <w:p w:rsidR="00542249" w:rsidRDefault="00016EAC">
      <w:pPr>
        <w:numPr>
          <w:ilvl w:val="0"/>
          <w:numId w:val="3"/>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Формування високотехнологічного економічного кластеру.</w:t>
      </w:r>
    </w:p>
    <w:p w:rsidR="00542249" w:rsidRDefault="00016EAC">
      <w:pPr>
        <w:numPr>
          <w:ilvl w:val="0"/>
          <w:numId w:val="3"/>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Диверсифікація економіки Бучі та зменшення залежності від бюджетних надходжень.</w:t>
      </w:r>
    </w:p>
    <w:p w:rsidR="00542249" w:rsidRDefault="00016EAC">
      <w:pPr>
        <w:numPr>
          <w:ilvl w:val="0"/>
          <w:numId w:val="3"/>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Формування сталої цифрової інвестиц</w:t>
      </w:r>
      <w:r>
        <w:rPr>
          <w:rFonts w:ascii="Times New Roman" w:eastAsia="Times New Roman" w:hAnsi="Times New Roman" w:cs="Times New Roman"/>
          <w:sz w:val="28"/>
          <w:szCs w:val="28"/>
        </w:rPr>
        <w:t xml:space="preserve">ійної інфраструктури громади як нематеріального активу, що підвищує інституційну спроможність КП «БАРР» </w:t>
      </w:r>
      <w:r>
        <w:rPr>
          <w:rFonts w:ascii="Times New Roman" w:eastAsia="Times New Roman" w:hAnsi="Times New Roman" w:cs="Times New Roman"/>
          <w:sz w:val="28"/>
          <w:szCs w:val="28"/>
        </w:rPr>
        <w:lastRenderedPageBreak/>
        <w:t>та конкурентоспроможність Бучанської громади на національному й міжнародному рівнях.</w:t>
      </w:r>
    </w:p>
    <w:p w:rsidR="00542249" w:rsidRDefault="00016EAC">
      <w:pPr>
        <w:numPr>
          <w:ilvl w:val="0"/>
          <w:numId w:val="3"/>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Зростання зайнятості у секторі професійної та наукової діяльності.</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Контрольований вхід у нові сфери діяльності з високим соціальним та економічним потенціалом має на меті:</w:t>
      </w:r>
    </w:p>
    <w:p w:rsidR="00542249" w:rsidRDefault="00016EAC">
      <w:pPr>
        <w:numPr>
          <w:ilvl w:val="0"/>
          <w:numId w:val="29"/>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Реалізація проєктів державно-приватного партнерства у сфері рекреації та туризму.</w:t>
      </w:r>
    </w:p>
    <w:p w:rsidR="00542249" w:rsidRDefault="00016EAC">
      <w:pPr>
        <w:numPr>
          <w:ilvl w:val="0"/>
          <w:numId w:val="29"/>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зеленої економіки, сервісних і креативних індустрій.</w:t>
      </w:r>
    </w:p>
    <w:p w:rsidR="00542249" w:rsidRDefault="00016EAC">
      <w:pPr>
        <w:numPr>
          <w:ilvl w:val="0"/>
          <w:numId w:val="29"/>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Підтрим</w:t>
      </w:r>
      <w:r>
        <w:rPr>
          <w:rFonts w:ascii="Times New Roman" w:eastAsia="Times New Roman" w:hAnsi="Times New Roman" w:cs="Times New Roman"/>
          <w:sz w:val="28"/>
          <w:szCs w:val="28"/>
        </w:rPr>
        <w:t>ка локального підприємництва та фермерства.</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Очікуваний результат:</w:t>
      </w:r>
    </w:p>
    <w:p w:rsidR="00542249" w:rsidRDefault="00016EAC">
      <w:pPr>
        <w:numPr>
          <w:ilvl w:val="0"/>
          <w:numId w:val="27"/>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нових джерел доходів для громади.</w:t>
      </w:r>
    </w:p>
    <w:p w:rsidR="00542249" w:rsidRDefault="00016EAC">
      <w:pPr>
        <w:numPr>
          <w:ilvl w:val="0"/>
          <w:numId w:val="27"/>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Підвищення фінансової стійкості та самодостатності Агенції.</w:t>
      </w:r>
    </w:p>
    <w:p w:rsidR="00542249" w:rsidRDefault="00016EAC">
      <w:pPr>
        <w:numPr>
          <w:ilvl w:val="0"/>
          <w:numId w:val="27"/>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Формування доданої вартості за рахунок нематеріальних активів громади.</w:t>
      </w:r>
    </w:p>
    <w:p w:rsidR="00542249" w:rsidRDefault="00016EAC">
      <w:pPr>
        <w:numPr>
          <w:ilvl w:val="0"/>
          <w:numId w:val="27"/>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Посилення соціальної згуртованості та якості життя мешканців.</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Матриця стратегічного розвитку дозволяє збалансувати інфраструктурні, інвестиційні та соціальні проєкти</w:t>
      </w:r>
      <w:r>
        <w:rPr>
          <w:rFonts w:ascii="Times New Roman" w:eastAsia="Times New Roman" w:hAnsi="Times New Roman" w:cs="Times New Roman"/>
          <w:sz w:val="28"/>
          <w:szCs w:val="28"/>
        </w:rPr>
        <w:t xml:space="preserve"> КП "БАРР", поєднуючи стабільні напрямки діяльності з контрольованим розширенням та диверсифікацією, що забезпечує сталий розвиток Бучанської міської територіальної громади у 2026–2028 роках.</w:t>
      </w:r>
      <w:r>
        <w:rPr>
          <w:rFonts w:ascii="Times New Roman" w:eastAsia="Times New Roman" w:hAnsi="Times New Roman" w:cs="Times New Roman"/>
          <w:sz w:val="28"/>
          <w:szCs w:val="28"/>
        </w:rPr>
        <w:br/>
      </w:r>
    </w:p>
    <w:p w:rsidR="00542249" w:rsidRDefault="00016EAC">
      <w:pPr>
        <w:spacing w:after="280" w:line="240" w:lineRule="auto"/>
        <w:ind w:firstLine="720"/>
        <w:jc w:val="both"/>
        <w:rPr>
          <w:rFonts w:ascii="Times New Roman" w:eastAsia="Times New Roman" w:hAnsi="Times New Roman" w:cs="Times New Roman"/>
          <w:b/>
          <w:bCs/>
          <w:sz w:val="28"/>
          <w:szCs w:val="28"/>
        </w:rPr>
      </w:pPr>
      <w:r>
        <w:br w:type="page"/>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РОЗДІЛ 5. ПРІОРИТЕТНІ ВЕРТИКАЛІ МУНІЦИПАЛЬНОГО РОЗВИТКУ</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Діяль</w:t>
      </w:r>
      <w:r>
        <w:rPr>
          <w:rFonts w:ascii="Times New Roman" w:eastAsia="Times New Roman" w:hAnsi="Times New Roman" w:cs="Times New Roman"/>
          <w:sz w:val="28"/>
          <w:szCs w:val="28"/>
        </w:rPr>
        <w:t>ність КП "БАРР" щодо вищезазначених проєктів неможлива без сприяння  системному покращенню базової інфраструктури та управління ресурсами громади.</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5.1. Енергетична безпека та розподілена генерація</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відповідності до Енергетичної стратегії України до 2050 </w:t>
      </w:r>
      <w:r>
        <w:rPr>
          <w:rFonts w:ascii="Times New Roman" w:eastAsia="Times New Roman" w:hAnsi="Times New Roman" w:cs="Times New Roman"/>
          <w:sz w:val="28"/>
          <w:szCs w:val="28"/>
        </w:rPr>
        <w:t>року, КП "БАРР" супроводжує проєкти встановлення сонячних електростанцій (СЕС) та когенераційних установок. Це критично для забезпечення роботи насосних станцій та лікарень у періоди блекаутів.</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5.2. Модернізація водно-каналізаційного господарства</w:t>
      </w:r>
    </w:p>
    <w:p w:rsidR="00542249" w:rsidRDefault="00016EAC">
      <w:pPr>
        <w:spacing w:after="280" w:line="240" w:lineRule="auto"/>
        <w:ind w:firstLine="720"/>
        <w:jc w:val="both"/>
        <w:rPr>
          <w:rFonts w:ascii="Times New Roman" w:eastAsia="Times New Roman" w:hAnsi="Times New Roman" w:cs="Times New Roman"/>
          <w:sz w:val="28"/>
          <w:szCs w:val="28"/>
          <w:vertAlign w:val="superscript"/>
        </w:rPr>
      </w:pPr>
      <w:r>
        <w:rPr>
          <w:rFonts w:ascii="Times New Roman" w:eastAsia="Times New Roman" w:hAnsi="Times New Roman" w:cs="Times New Roman"/>
          <w:sz w:val="28"/>
          <w:szCs w:val="28"/>
        </w:rPr>
        <w:t>Розвиток</w:t>
      </w:r>
      <w:r>
        <w:rPr>
          <w:rFonts w:ascii="Times New Roman" w:eastAsia="Times New Roman" w:hAnsi="Times New Roman" w:cs="Times New Roman"/>
          <w:sz w:val="28"/>
          <w:szCs w:val="28"/>
        </w:rPr>
        <w:t xml:space="preserve"> індустріальних парків вимагає суттєвих обсягів води. КП "БАРР" координує зусилля з КП «Бучасервіс» для реалізації проєкту «Гаврилівка-Луб'янка-Блиставиця-Буча-Ворзель». Нове будівництво водопровідної мережі протяжністю майже 20 км забезпечить потреби 73 0</w:t>
      </w:r>
      <w:r>
        <w:rPr>
          <w:rFonts w:ascii="Times New Roman" w:eastAsia="Times New Roman" w:hAnsi="Times New Roman" w:cs="Times New Roman"/>
          <w:sz w:val="28"/>
          <w:szCs w:val="28"/>
        </w:rPr>
        <w:t>00 мешканців та нових виробництв. Вартість проєкту становить 407,5 млн грн, з яких 2 млн євро залучено від уряду Данії.</w:t>
      </w:r>
      <w:r>
        <w:rPr>
          <w:rFonts w:ascii="Times New Roman" w:eastAsia="Times New Roman" w:hAnsi="Times New Roman" w:cs="Times New Roman"/>
          <w:sz w:val="28"/>
          <w:szCs w:val="28"/>
          <w:vertAlign w:val="superscript"/>
        </w:rPr>
        <w:t xml:space="preserve"> </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Додатково розвиток індустріальних парків та зростання виробничих потужностей потребують модернізації та масштабування системи водовідве</w:t>
      </w:r>
      <w:r>
        <w:rPr>
          <w:rFonts w:ascii="Times New Roman" w:eastAsia="Times New Roman" w:hAnsi="Times New Roman" w:cs="Times New Roman"/>
          <w:sz w:val="28"/>
          <w:szCs w:val="28"/>
        </w:rPr>
        <w:t>дення і очищення стічних вод. У межах комплексного підходу до розвитку водно-каналізаційного господарства передбачається поетапне оновлення очисних споруд із впровадженням сучасних технологій механічної, біологічної та, за необхідності, фізико-хімічної очи</w:t>
      </w:r>
      <w:r>
        <w:rPr>
          <w:rFonts w:ascii="Times New Roman" w:eastAsia="Times New Roman" w:hAnsi="Times New Roman" w:cs="Times New Roman"/>
          <w:sz w:val="28"/>
          <w:szCs w:val="28"/>
        </w:rPr>
        <w:t>стки стоків.</w:t>
      </w:r>
    </w:p>
    <w:p w:rsidR="00542249" w:rsidRDefault="00016EAC">
      <w:pPr>
        <w:numPr>
          <w:ilvl w:val="0"/>
          <w:numId w:val="23"/>
        </w:numPr>
        <w:spacing w:after="0" w:line="240" w:lineRule="auto"/>
        <w:ind w:left="0"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навантаження;</w:t>
      </w:r>
    </w:p>
    <w:p w:rsidR="00542249" w:rsidRDefault="00016EAC">
      <w:pPr>
        <w:numPr>
          <w:ilvl w:val="0"/>
          <w:numId w:val="23"/>
        </w:numPr>
        <w:spacing w:after="280" w:line="240" w:lineRule="auto"/>
        <w:ind w:left="0"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зменшення негативного впливу на водні об’єкти та довкілля в цілому.</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Модернізація системи очищення стічних вод розглядається як обов’язковий інфраструктурний компонент розвитку індустріальних парків та передумова залучення інвесто</w:t>
      </w:r>
      <w:r>
        <w:rPr>
          <w:rFonts w:ascii="Times New Roman" w:eastAsia="Times New Roman" w:hAnsi="Times New Roman" w:cs="Times New Roman"/>
          <w:sz w:val="28"/>
          <w:szCs w:val="28"/>
        </w:rPr>
        <w:t>рів у галузях переробної промисловості, логістики та високотехнологічного виробництва. Заплановані заходи спрямовані на:</w:t>
      </w:r>
    </w:p>
    <w:p w:rsidR="00542249" w:rsidRDefault="00016EAC">
      <w:pPr>
        <w:numPr>
          <w:ilvl w:val="0"/>
          <w:numId w:val="23"/>
        </w:numPr>
        <w:spacing w:after="0" w:line="240" w:lineRule="auto"/>
        <w:ind w:left="0"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забезпечення екологічної безпеки територій індустріальних парків і населених пунктів громади;</w:t>
      </w:r>
    </w:p>
    <w:p w:rsidR="00542249" w:rsidRDefault="00016EAC">
      <w:pPr>
        <w:numPr>
          <w:ilvl w:val="0"/>
          <w:numId w:val="23"/>
        </w:numPr>
        <w:spacing w:after="0" w:line="240" w:lineRule="auto"/>
        <w:ind w:left="0"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відповідність параметрів очищених </w:t>
      </w:r>
      <w:r>
        <w:rPr>
          <w:rFonts w:ascii="Times New Roman" w:eastAsia="Times New Roman" w:hAnsi="Times New Roman" w:cs="Times New Roman"/>
          <w:sz w:val="28"/>
          <w:szCs w:val="28"/>
        </w:rPr>
        <w:t>стічних вод вимогам національного законодавства та європейських екологічних стандартів;</w:t>
      </w:r>
    </w:p>
    <w:p w:rsidR="00542249" w:rsidRDefault="00016EAC">
      <w:pPr>
        <w:numPr>
          <w:ilvl w:val="0"/>
          <w:numId w:val="23"/>
        </w:numPr>
        <w:spacing w:after="280" w:line="240" w:lineRule="auto"/>
        <w:ind w:left="0"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можливість прийому та очистки виробничих стоків із різним рівнем </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5.3. Соціальне житло та інклюзивна інфраструктура</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Згідно з рішенням № 6117-84-VIII від 04.12.2025, Буч</w:t>
      </w:r>
      <w:r>
        <w:rPr>
          <w:rFonts w:ascii="Times New Roman" w:eastAsia="Times New Roman" w:hAnsi="Times New Roman" w:cs="Times New Roman"/>
          <w:sz w:val="28"/>
          <w:szCs w:val="28"/>
        </w:rPr>
        <w:t>а бере участь у пілотному проєкті ЄІБ зі створення фонду муніципального орендного житла.</w:t>
      </w:r>
      <w:r>
        <w:rPr>
          <w:rFonts w:ascii="Times New Roman" w:eastAsia="Times New Roman" w:hAnsi="Times New Roman" w:cs="Times New Roman"/>
          <w:sz w:val="28"/>
          <w:szCs w:val="28"/>
          <w:vertAlign w:val="superscript"/>
        </w:rPr>
        <w:t>1</w:t>
      </w:r>
      <w:r>
        <w:rPr>
          <w:rFonts w:ascii="Times New Roman" w:eastAsia="Times New Roman" w:hAnsi="Times New Roman" w:cs="Times New Roman"/>
          <w:sz w:val="28"/>
          <w:szCs w:val="28"/>
        </w:rPr>
        <w:t xml:space="preserve"> Агенція КП "БАРР" відповідає за інвестиційну привабливість цих ділянок:</w:t>
      </w:r>
    </w:p>
    <w:p w:rsidR="00542249" w:rsidRDefault="00016EAC">
      <w:pPr>
        <w:numPr>
          <w:ilvl w:val="0"/>
          <w:numId w:val="2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 Мироцьке (0,97 га, вул. Центральна);</w:t>
      </w:r>
    </w:p>
    <w:p w:rsidR="00542249" w:rsidRDefault="00016EAC">
      <w:pPr>
        <w:numPr>
          <w:ilvl w:val="0"/>
          <w:numId w:val="22"/>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сел. Бабинці (1,2 га та 0,5 га, вул. Незалежності);</w:t>
      </w:r>
    </w:p>
    <w:p w:rsidR="00542249" w:rsidRDefault="00016EAC">
      <w:pPr>
        <w:numPr>
          <w:ilvl w:val="0"/>
          <w:numId w:val="22"/>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Pr>
          <w:rFonts w:ascii="Times New Roman" w:eastAsia="Times New Roman" w:hAnsi="Times New Roman" w:cs="Times New Roman"/>
          <w:sz w:val="28"/>
          <w:szCs w:val="28"/>
        </w:rPr>
        <w:t xml:space="preserve"> Блиставиця (0,5 га, вул. Соборна).</w:t>
      </w:r>
      <w:r>
        <w:rPr>
          <w:rFonts w:ascii="Times New Roman" w:eastAsia="Times New Roman" w:hAnsi="Times New Roman" w:cs="Times New Roman"/>
          <w:sz w:val="28"/>
          <w:szCs w:val="28"/>
          <w:vertAlign w:val="superscript"/>
        </w:rPr>
        <w:t>1</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Це житло призначене для освітян, медиків та ВПО, що безпосередньо впливає на кадрове забезпечення індустріальних зон.</w:t>
      </w:r>
    </w:p>
    <w:p w:rsidR="00542249" w:rsidRDefault="00016EAC">
      <w:pPr>
        <w:spacing w:after="280" w:line="240" w:lineRule="auto"/>
        <w:ind w:firstLine="720"/>
        <w:jc w:val="both"/>
        <w:rPr>
          <w:rFonts w:ascii="Times New Roman" w:eastAsia="Times New Roman" w:hAnsi="Times New Roman" w:cs="Times New Roman"/>
          <w:b/>
          <w:bCs/>
          <w:sz w:val="28"/>
          <w:szCs w:val="28"/>
        </w:rPr>
      </w:pPr>
      <w:r>
        <w:br w:type="page"/>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РОЗДІЛ 6. ОРГАНІЗАЦІЙНИЙ РОЗВИТОК ТА КАДРОВИЙ ПОТЕНЦІАЛ КП "БАРР"</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Масштаб завдань вимагає переходу </w:t>
      </w:r>
      <w:r>
        <w:rPr>
          <w:rFonts w:ascii="Times New Roman" w:eastAsia="Times New Roman" w:hAnsi="Times New Roman" w:cs="Times New Roman"/>
          <w:sz w:val="28"/>
          <w:szCs w:val="28"/>
        </w:rPr>
        <w:t>КП "БАРР" на нову організаційну структуру. У 2026 році штатний розпис Агенції зазнає суттєвих змін для забезпечення виконання функцій проєктного офісу та керуючої компанії.</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6.1. Штатний розпис та ФОП на 2026 рік</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Оновлена структура фокусується на двох підр</w:t>
      </w:r>
      <w:r>
        <w:rPr>
          <w:rFonts w:ascii="Times New Roman" w:eastAsia="Times New Roman" w:hAnsi="Times New Roman" w:cs="Times New Roman"/>
          <w:sz w:val="28"/>
          <w:szCs w:val="28"/>
        </w:rPr>
        <w:t>озділах: Адміністрація та Відділ регіонального розвитку.</w:t>
      </w:r>
    </w:p>
    <w:tbl>
      <w:tblPr>
        <w:tblStyle w:val="af4"/>
        <w:tblW w:w="7685" w:type="dxa"/>
        <w:jc w:val="center"/>
        <w:tblInd w:w="0" w:type="dxa"/>
        <w:tblLayout w:type="fixed"/>
        <w:tblLook w:val="0400" w:firstRow="0" w:lastRow="0" w:firstColumn="0" w:lastColumn="0" w:noHBand="0" w:noVBand="1"/>
      </w:tblPr>
      <w:tblGrid>
        <w:gridCol w:w="4710"/>
        <w:gridCol w:w="2975"/>
      </w:tblGrid>
      <w:tr w:rsidR="00542249">
        <w:trPr>
          <w:tblHeader/>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Посада</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   Кількість одиниць</w:t>
            </w:r>
          </w:p>
        </w:tc>
      </w:tr>
      <w:tr w:rsidR="00542249">
        <w:trPr>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Адміністрація</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2.5</w:t>
            </w:r>
          </w:p>
        </w:tc>
      </w:tr>
      <w:tr w:rsidR="00542249">
        <w:trPr>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Директор</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542249">
        <w:trPr>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Головний бухгалтер</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542249">
        <w:trPr>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Фахівець з публічних закупівель</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r>
      <w:tr w:rsidR="00542249">
        <w:trPr>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Відділ регіонального розвитку</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3.5</w:t>
            </w:r>
          </w:p>
        </w:tc>
      </w:tr>
      <w:tr w:rsidR="00542249">
        <w:trPr>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Менеджер з проєктної роботи</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542249">
        <w:trPr>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Менеджер з маркетингу</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542249">
        <w:trPr>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Інженер з ПКД</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r>
      <w:tr w:rsidR="00542249">
        <w:trPr>
          <w:trHeight w:val="271"/>
          <w:jc w:val="center"/>
        </w:trPr>
        <w:tc>
          <w:tcPr>
            <w:tcW w:w="4710"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Разом</w:t>
            </w:r>
          </w:p>
        </w:tc>
        <w:tc>
          <w:tcPr>
            <w:tcW w:w="2975" w:type="dxa"/>
            <w:tcBorders>
              <w:top w:val="single" w:sz="6" w:space="0" w:color="000000"/>
              <w:left w:val="single" w:sz="6" w:space="0" w:color="000000"/>
              <w:bottom w:val="single" w:sz="6" w:space="0" w:color="000000"/>
              <w:right w:val="single" w:sz="6" w:space="0" w:color="000000"/>
            </w:tcBorders>
            <w:vAlign w:val="center"/>
          </w:tcPr>
          <w:p w:rsidR="00542249" w:rsidRDefault="00016EAC">
            <w:pPr>
              <w:spacing w:line="240" w:lineRule="auto"/>
              <w:ind w:firstLine="720"/>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6.0</w:t>
            </w:r>
          </w:p>
        </w:tc>
      </w:tr>
    </w:tbl>
    <w:p w:rsidR="00542249" w:rsidRDefault="00016EAC">
      <w:pPr>
        <w:spacing w:after="28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br/>
        <w:t xml:space="preserve">      Впровадження посади інженера з ПКД (проєктно-кошторисної документації), маркетолога, кваліфікованого проєктного менеджера та фахівця з закупівель</w:t>
      </w:r>
      <w:r>
        <w:rPr>
          <w:rFonts w:ascii="Times New Roman" w:eastAsia="Times New Roman" w:hAnsi="Times New Roman" w:cs="Times New Roman"/>
          <w:sz w:val="28"/>
          <w:szCs w:val="28"/>
        </w:rPr>
        <w:t xml:space="preserve"> є критичним для самостійної реалізації проєкту ІП «Бабинці».</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6.2. Цифрова трансформація процесів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Агенція впроваджує сучасні ІТ-інструменти для управління розвитком:</w:t>
      </w:r>
    </w:p>
    <w:p w:rsidR="00542249" w:rsidRDefault="00016EAC">
      <w:pPr>
        <w:numPr>
          <w:ilvl w:val="0"/>
          <w:numId w:val="24"/>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CRM-система інвестора: Моніторинг «воронки інвесторів» від першого контакту до сплати ПДФ</w:t>
      </w:r>
      <w:r>
        <w:rPr>
          <w:rFonts w:ascii="Times New Roman" w:eastAsia="Times New Roman" w:hAnsi="Times New Roman" w:cs="Times New Roman"/>
          <w:sz w:val="28"/>
          <w:szCs w:val="28"/>
        </w:rPr>
        <w:t>О.</w:t>
      </w:r>
    </w:p>
    <w:p w:rsidR="00542249" w:rsidRDefault="00016EAC">
      <w:pPr>
        <w:numPr>
          <w:ilvl w:val="0"/>
          <w:numId w:val="24"/>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Економічна карта громади: Інтерактивна карта з накладанням мереж, обмежень та вільних ділянок, індустріальних зон, галузевих представників та транспортної інфраструктури.</w:t>
      </w:r>
    </w:p>
    <w:p w:rsidR="00542249" w:rsidRDefault="00016EAC">
      <w:pPr>
        <w:numPr>
          <w:ilvl w:val="0"/>
          <w:numId w:val="24"/>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Постійне навчання персоналу методам управління публічними </w:t>
      </w:r>
      <w:r>
        <w:rPr>
          <w:rFonts w:ascii="Times New Roman" w:eastAsia="Times New Roman" w:hAnsi="Times New Roman" w:cs="Times New Roman"/>
          <w:sz w:val="28"/>
          <w:szCs w:val="28"/>
        </w:rPr>
        <w:t>інвестиціями.</w:t>
      </w:r>
    </w:p>
    <w:p w:rsidR="00542249" w:rsidRDefault="00016EAC">
      <w:pPr>
        <w:pStyle w:val="2"/>
        <w:spacing w:after="280"/>
        <w:ind w:firstLine="720"/>
        <w:jc w:val="both"/>
        <w:rPr>
          <w:sz w:val="28"/>
          <w:szCs w:val="28"/>
        </w:rPr>
      </w:pPr>
      <w:bookmarkStart w:id="1" w:name="_heading=h.uexdbljrw18w" w:colFirst="0" w:colLast="0"/>
      <w:bookmarkEnd w:id="1"/>
      <w:r>
        <w:rPr>
          <w:sz w:val="28"/>
          <w:szCs w:val="28"/>
        </w:rPr>
        <w:lastRenderedPageBreak/>
        <w:t>РОЗДІЛ 7. ФІНАНСОВА МОДЕЛЬ ТА ДИВЕРСИФІКАЦІЯ ДОХОДІВ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Фінансова модель КП «БАРР» передбачає поетапний перехід від повної залежності від місцевого бюджету до змішаної моделі фінансування. Цільовий показник — самозабезпечення не менше 20% операц</w:t>
      </w:r>
      <w:r>
        <w:rPr>
          <w:rFonts w:ascii="Times New Roman" w:eastAsia="Times New Roman" w:hAnsi="Times New Roman" w:cs="Times New Roman"/>
          <w:sz w:val="28"/>
          <w:szCs w:val="28"/>
        </w:rPr>
        <w:t>ійних витрат до 2028 року.</w:t>
      </w:r>
    </w:p>
    <w:p w:rsidR="00542249" w:rsidRDefault="00016EAC">
      <w:pPr>
        <w:pStyle w:val="3"/>
        <w:spacing w:after="280"/>
        <w:ind w:firstLine="720"/>
        <w:jc w:val="both"/>
        <w:rPr>
          <w:sz w:val="28"/>
          <w:szCs w:val="28"/>
        </w:rPr>
      </w:pPr>
      <w:bookmarkStart w:id="2" w:name="_heading=h.n8v9ko1f0v5h" w:colFirst="0" w:colLast="0"/>
      <w:bookmarkEnd w:id="2"/>
      <w:r>
        <w:rPr>
          <w:sz w:val="28"/>
          <w:szCs w:val="28"/>
        </w:rPr>
        <w:t>Джерела фінансування:</w:t>
      </w:r>
    </w:p>
    <w:p w:rsidR="00542249" w:rsidRDefault="00016EAC">
      <w:pPr>
        <w:numPr>
          <w:ilvl w:val="0"/>
          <w:numId w:val="8"/>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Муніципальне замовлення (близько 60%)</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Фінансування з місцевого бюджету спрямовується на виконання завдань Агенції з розробки стратегічних документів, супроводу комунальних проєктів та реалізації функцій оператора розвитку громади.</w:t>
      </w:r>
    </w:p>
    <w:p w:rsidR="00542249" w:rsidRDefault="00016EAC">
      <w:pPr>
        <w:numPr>
          <w:ilvl w:val="0"/>
          <w:numId w:val="8"/>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Грантові кошти та міжнародна технічна допомога (близько 20%)</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w:t>
      </w:r>
      <w:r>
        <w:rPr>
          <w:rFonts w:ascii="Times New Roman" w:eastAsia="Times New Roman" w:hAnsi="Times New Roman" w:cs="Times New Roman"/>
          <w:sz w:val="28"/>
          <w:szCs w:val="28"/>
        </w:rPr>
        <w:t>лучаються для експертної підтримки, підготовки ТЕО та реалізації розвиткових проєктів у партнерстві з міжнародними програмами.</w:t>
      </w:r>
    </w:p>
    <w:p w:rsidR="00542249" w:rsidRDefault="00016EAC">
      <w:pPr>
        <w:numPr>
          <w:ilvl w:val="0"/>
          <w:numId w:val="38"/>
        </w:numPr>
        <w:pBdr>
          <w:top w:val="nil"/>
          <w:left w:val="nil"/>
          <w:bottom w:val="nil"/>
          <w:right w:val="nil"/>
          <w:between w:val="nil"/>
        </w:pBdr>
        <w:spacing w:after="280" w:line="240" w:lineRule="auto"/>
        <w:ind w:left="0" w:firstLine="720"/>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Власні надходження (ціль — близько 20%)Формуються за рахунок: управління індустріальним парком «Бабинці»; оренди та експлуатації </w:t>
      </w:r>
      <w:r>
        <w:rPr>
          <w:rFonts w:ascii="Times New Roman" w:eastAsia="Times New Roman" w:hAnsi="Times New Roman" w:cs="Times New Roman"/>
          <w:color w:val="000000"/>
          <w:sz w:val="28"/>
          <w:szCs w:val="28"/>
        </w:rPr>
        <w:t>майна КП «БАРР»; консалтингових послуг для бізнесу; супровід для майбутніх резидентів індустріальних парків з послугою «єдиного вікна» для отримання всієї необхідної інформаційної підтримки.</w:t>
      </w:r>
    </w:p>
    <w:p w:rsidR="00542249" w:rsidRDefault="00016EAC">
      <w:pPr>
        <w:pStyle w:val="3"/>
        <w:spacing w:after="280"/>
        <w:ind w:firstLine="720"/>
        <w:jc w:val="both"/>
        <w:rPr>
          <w:sz w:val="28"/>
          <w:szCs w:val="28"/>
        </w:rPr>
      </w:pPr>
      <w:bookmarkStart w:id="3" w:name="_heading=h.4u525lw65qeu" w:colFirst="0" w:colLast="0"/>
      <w:bookmarkEnd w:id="3"/>
      <w:r>
        <w:rPr>
          <w:sz w:val="28"/>
          <w:szCs w:val="28"/>
        </w:rPr>
        <w:t>Очікувана динаміка</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2025 році частка власних доходів становить м</w:t>
      </w:r>
      <w:r>
        <w:rPr>
          <w:rFonts w:ascii="Times New Roman" w:eastAsia="Times New Roman" w:hAnsi="Times New Roman" w:cs="Times New Roman"/>
          <w:sz w:val="28"/>
          <w:szCs w:val="28"/>
        </w:rPr>
        <w:t xml:space="preserve">енше 5%. У 2026 році прогнозується її зростання до близько 10%, а до 2028 року — до не менше </w:t>
      </w:r>
      <w:r>
        <w:rPr>
          <w:rFonts w:ascii="Times New Roman" w:eastAsia="Times New Roman" w:hAnsi="Times New Roman" w:cs="Times New Roman"/>
          <w:b/>
          <w:bCs/>
          <w:sz w:val="28"/>
          <w:szCs w:val="28"/>
        </w:rPr>
        <w:t xml:space="preserve">20%. </w:t>
      </w:r>
      <w:r>
        <w:rPr>
          <w:rFonts w:ascii="Times New Roman" w:eastAsia="Times New Roman" w:hAnsi="Times New Roman" w:cs="Times New Roman"/>
          <w:sz w:val="28"/>
          <w:szCs w:val="28"/>
        </w:rPr>
        <w:t>Паралельно очікується суттєве зростання обсягів інвестицій у проєкти, що супроводжуються Агенцією.</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Реалізація цієї моделі забезпечить фінансову стійкість КП «</w:t>
      </w:r>
      <w:r>
        <w:rPr>
          <w:rFonts w:ascii="Times New Roman" w:eastAsia="Times New Roman" w:hAnsi="Times New Roman" w:cs="Times New Roman"/>
          <w:sz w:val="28"/>
          <w:szCs w:val="28"/>
        </w:rPr>
        <w:t>БАРР», зменшення навантаження на місцевий бюджет та можливість масштабування проєктів розвитку громади.</w:t>
      </w:r>
    </w:p>
    <w:p w:rsidR="00542249" w:rsidRDefault="00016EAC">
      <w:pPr>
        <w:widowControl w:val="0"/>
        <w:tabs>
          <w:tab w:val="left" w:pos="7370"/>
          <w:tab w:val="left" w:pos="9384"/>
        </w:tabs>
        <w:spacing w:after="0" w:line="240" w:lineRule="auto"/>
        <w:ind w:firstLine="284"/>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Ключові показники результатів діяльності </w:t>
      </w:r>
      <w:r>
        <w:rPr>
          <w:rFonts w:ascii="Times New Roman" w:eastAsia="Times New Roman" w:hAnsi="Times New Roman" w:cs="Times New Roman"/>
          <w:b/>
          <w:bCs/>
          <w:sz w:val="28"/>
          <w:szCs w:val="28"/>
        </w:rPr>
        <w:br/>
      </w:r>
    </w:p>
    <w:tbl>
      <w:tblPr>
        <w:tblStyle w:val="af5"/>
        <w:tblW w:w="9795" w:type="dxa"/>
        <w:tblInd w:w="0" w:type="dxa"/>
        <w:tblLayout w:type="fixed"/>
        <w:tblLook w:val="0400" w:firstRow="0" w:lastRow="0" w:firstColumn="0" w:lastColumn="0" w:noHBand="0" w:noVBand="1"/>
      </w:tblPr>
      <w:tblGrid>
        <w:gridCol w:w="330"/>
        <w:gridCol w:w="1380"/>
        <w:gridCol w:w="1905"/>
        <w:gridCol w:w="930"/>
        <w:gridCol w:w="840"/>
        <w:gridCol w:w="675"/>
        <w:gridCol w:w="915"/>
        <w:gridCol w:w="915"/>
        <w:gridCol w:w="915"/>
        <w:gridCol w:w="990"/>
      </w:tblGrid>
      <w:tr w:rsidR="00542249">
        <w:trPr>
          <w:trHeight w:val="60"/>
        </w:trPr>
        <w:tc>
          <w:tcPr>
            <w:tcW w:w="3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w:t>
            </w:r>
          </w:p>
        </w:tc>
        <w:tc>
          <w:tcPr>
            <w:tcW w:w="138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Напрям </w:t>
            </w:r>
            <w:r>
              <w:rPr>
                <w:rFonts w:ascii="Times New Roman" w:eastAsia="Times New Roman" w:hAnsi="Times New Roman" w:cs="Times New Roman"/>
                <w:b/>
                <w:bCs/>
                <w:sz w:val="24"/>
                <w:szCs w:val="24"/>
              </w:rPr>
              <w:br/>
              <w:t> діяльності</w:t>
            </w: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Найменування показника</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Одиниця виміру</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Факт</w:t>
            </w:r>
          </w:p>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минулого року</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Прогноз поточного року</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1-ий плановий рік</w:t>
            </w:r>
          </w:p>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2026</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2-ий плановий рік</w:t>
            </w:r>
          </w:p>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2027</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3-ий плановий рік</w:t>
            </w:r>
          </w:p>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2028</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4-ий плановий рік</w:t>
            </w:r>
          </w:p>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2029</w:t>
            </w:r>
          </w:p>
        </w:tc>
      </w:tr>
      <w:tr w:rsidR="00542249">
        <w:trPr>
          <w:trHeight w:val="60"/>
        </w:trPr>
        <w:tc>
          <w:tcPr>
            <w:tcW w:w="3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w:t>
            </w:r>
          </w:p>
        </w:tc>
        <w:tc>
          <w:tcPr>
            <w:tcW w:w="138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2</w:t>
            </w: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3</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4</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5</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8</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10 </w:t>
            </w:r>
          </w:p>
        </w:tc>
      </w:tr>
      <w:tr w:rsidR="00542249">
        <w:trPr>
          <w:trHeight w:val="60"/>
        </w:trPr>
        <w:tc>
          <w:tcPr>
            <w:tcW w:w="33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8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Фінансова діяльність</w:t>
            </w: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Чистий дохід від реалізації продукції </w:t>
            </w:r>
            <w:r>
              <w:rPr>
                <w:rFonts w:ascii="Times New Roman" w:eastAsia="Times New Roman" w:hAnsi="Times New Roman" w:cs="Times New Roman"/>
                <w:sz w:val="24"/>
                <w:szCs w:val="24"/>
              </w:rPr>
              <w:lastRenderedPageBreak/>
              <w:t>(товарів, робіт, послуг)</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тис. грн </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83</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1.2. Валовий </w:t>
            </w:r>
            <w:r>
              <w:rPr>
                <w:rFonts w:ascii="Times New Roman" w:eastAsia="Times New Roman" w:hAnsi="Times New Roman" w:cs="Times New Roman"/>
                <w:sz w:val="24"/>
                <w:szCs w:val="24"/>
              </w:rPr>
              <w:t>прибуток</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(83)</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1.3. Чистий фінансовий результат</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тис. грн </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1.4. Валова рентабельність</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spacing w:after="200" w:line="273"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spacing w:after="200" w:line="273"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1.5. Рентабельність діяльності</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542249">
        <w:trPr>
          <w:trHeight w:val="60"/>
        </w:trPr>
        <w:tc>
          <w:tcPr>
            <w:tcW w:w="33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38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Маркетингова діяльність</w:t>
            </w: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2.1. Обсяг </w:t>
            </w:r>
            <w:r>
              <w:rPr>
                <w:rFonts w:ascii="Times New Roman" w:eastAsia="Times New Roman" w:hAnsi="Times New Roman" w:cs="Times New Roman"/>
                <w:sz w:val="24"/>
                <w:szCs w:val="24"/>
              </w:rPr>
              <w:t>реалізованої продукції на вітчизняному ринку</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2.2. Виручка від реалізації продукції на експорт</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тис. грн </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542249">
        <w:trPr>
          <w:trHeight w:val="60"/>
        </w:trPr>
        <w:tc>
          <w:tcPr>
            <w:tcW w:w="3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38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Виробнича діяльність</w:t>
            </w: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3.1. Рівень використання виробничих потужностей</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0%</w:t>
            </w:r>
          </w:p>
        </w:tc>
      </w:tr>
      <w:tr w:rsidR="00542249">
        <w:trPr>
          <w:trHeight w:val="60"/>
        </w:trPr>
        <w:tc>
          <w:tcPr>
            <w:tcW w:w="33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38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Інвестиційна та інноваційна діяльність</w:t>
            </w: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 Капітальні інвестиції усього, у тому числі за джерелами фінансування:</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38</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4.1.1 Кошти </w:t>
            </w:r>
            <w:r>
              <w:rPr>
                <w:rFonts w:ascii="Times New Roman" w:eastAsia="Times New Roman" w:hAnsi="Times New Roman" w:cs="Times New Roman"/>
                <w:sz w:val="24"/>
                <w:szCs w:val="24"/>
              </w:rPr>
              <w:t>державного/місцевого бюджету</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38</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4.1.2 Власні кошти підприємства</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83</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100 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rPr>
                <w:rFonts w:ascii="Times New Roman" w:eastAsia="Times New Roman" w:hAnsi="Times New Roman" w:cs="Times New Roman"/>
                <w:sz w:val="24"/>
                <w:szCs w:val="24"/>
              </w:rPr>
            </w:pP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4.1.3 Залучені кошти</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4.2. Витрати на інновації</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4.3 Обсяг реалізованої інноваційної </w:t>
            </w:r>
            <w:r>
              <w:rPr>
                <w:rFonts w:ascii="Times New Roman" w:eastAsia="Times New Roman" w:hAnsi="Times New Roman" w:cs="Times New Roman"/>
                <w:sz w:val="24"/>
                <w:szCs w:val="24"/>
              </w:rPr>
              <w:t>продукції</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4.4 Питома вага інноваційної продукції в </w:t>
            </w:r>
            <w:r>
              <w:rPr>
                <w:rFonts w:ascii="Times New Roman" w:eastAsia="Times New Roman" w:hAnsi="Times New Roman" w:cs="Times New Roman"/>
                <w:sz w:val="24"/>
                <w:szCs w:val="24"/>
              </w:rPr>
              <w:lastRenderedPageBreak/>
              <w:t>загальному обсязі реалізованої продукції</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542249">
        <w:trPr>
          <w:trHeight w:val="60"/>
        </w:trPr>
        <w:tc>
          <w:tcPr>
            <w:tcW w:w="33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38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Розвиток </w:t>
            </w:r>
            <w:r>
              <w:rPr>
                <w:rFonts w:ascii="Times New Roman" w:eastAsia="Times New Roman" w:hAnsi="Times New Roman" w:cs="Times New Roman"/>
                <w:sz w:val="24"/>
                <w:szCs w:val="24"/>
              </w:rPr>
              <w:br/>
              <w:t> трудового потенціалу підприємства</w:t>
            </w: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5.1 Середньооблікова чисельність штатних працівників</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осіб</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5.2 Середньомісячна заробітна плата працівників</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18622</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16724</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21540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24770</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28484</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32758</w:t>
            </w: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5.3 Продуктивність праці одного працюючого промислово-виробничого персоналу</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 особу/міс</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r>
      <w:tr w:rsidR="00542249">
        <w:trPr>
          <w:trHeight w:val="1847"/>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5.4 Питома вага працівників, які здійснюють </w:t>
            </w:r>
            <w:r>
              <w:rPr>
                <w:rFonts w:ascii="Times New Roman" w:eastAsia="Times New Roman" w:hAnsi="Times New Roman" w:cs="Times New Roman"/>
                <w:sz w:val="24"/>
                <w:szCs w:val="24"/>
              </w:rPr>
              <w:t>науково-технічну діяльність</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tc>
      </w:tr>
      <w:tr w:rsidR="00542249">
        <w:trPr>
          <w:trHeight w:val="60"/>
        </w:trPr>
        <w:tc>
          <w:tcPr>
            <w:tcW w:w="33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380" w:type="dxa"/>
            <w:vMerge w:val="restart"/>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Стан використання активів</w:t>
            </w: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6.1. Активи усього, у тому числі: </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1127,2</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244,9</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244,9</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spacing w:after="200" w:line="273" w:lineRule="auto"/>
              <w:rPr>
                <w:rFonts w:ascii="Times New Roman" w:eastAsia="Times New Roman" w:hAnsi="Times New Roman" w:cs="Times New Roman"/>
                <w:sz w:val="24"/>
                <w:szCs w:val="24"/>
              </w:rPr>
            </w:pP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542249">
            <w:pPr>
              <w:spacing w:after="200" w:line="273" w:lineRule="auto"/>
              <w:rPr>
                <w:rFonts w:ascii="Times New Roman" w:eastAsia="Times New Roman" w:hAnsi="Times New Roman" w:cs="Times New Roman"/>
                <w:sz w:val="24"/>
                <w:szCs w:val="24"/>
              </w:rPr>
            </w:pPr>
          </w:p>
        </w:tc>
      </w:tr>
      <w:tr w:rsidR="00542249">
        <w:trPr>
          <w:trHeight w:val="662"/>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6.1.1 Оборотні активи</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45,9</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33,9</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33,9</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6.1.2 Основні засоби (первісна вартість)</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тис. грн</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2491,7</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1423,1</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1423,1</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542249">
            <w:pPr>
              <w:widowControl w:val="0"/>
              <w:spacing w:after="0" w:line="240" w:lineRule="auto"/>
              <w:jc w:val="center"/>
              <w:rPr>
                <w:rFonts w:ascii="Times New Roman" w:eastAsia="Times New Roman" w:hAnsi="Times New Roman" w:cs="Times New Roman"/>
                <w:sz w:val="24"/>
                <w:szCs w:val="24"/>
              </w:rPr>
            </w:pPr>
          </w:p>
        </w:tc>
      </w:tr>
      <w:tr w:rsidR="00542249">
        <w:trPr>
          <w:trHeight w:val="1124"/>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6.2 Коефіцієнт зносу основних засобів</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1410,4</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1212,1</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1212,1</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rPr>
                <w:rFonts w:ascii="Times New Roman" w:eastAsia="Times New Roman" w:hAnsi="Times New Roman" w:cs="Times New Roman"/>
                <w:sz w:val="24"/>
                <w:szCs w:val="24"/>
              </w:rPr>
            </w:pP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40" w:lineRule="auto"/>
              <w:rPr>
                <w:rFonts w:ascii="Times New Roman" w:eastAsia="Times New Roman" w:hAnsi="Times New Roman" w:cs="Times New Roman"/>
                <w:sz w:val="24"/>
                <w:szCs w:val="24"/>
              </w:rPr>
            </w:pP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542249">
            <w:pPr>
              <w:widowControl w:val="0"/>
              <w:spacing w:after="0" w:line="240" w:lineRule="auto"/>
              <w:rPr>
                <w:rFonts w:ascii="Times New Roman" w:eastAsia="Times New Roman" w:hAnsi="Times New Roman" w:cs="Times New Roman"/>
                <w:sz w:val="24"/>
                <w:szCs w:val="24"/>
              </w:rPr>
            </w:pPr>
          </w:p>
        </w:tc>
      </w:tr>
      <w:tr w:rsidR="00542249">
        <w:trPr>
          <w:trHeight w:val="60"/>
        </w:trPr>
        <w:tc>
          <w:tcPr>
            <w:tcW w:w="33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380" w:type="dxa"/>
            <w:vMerge/>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542249">
            <w:pPr>
              <w:widowControl w:val="0"/>
              <w:spacing w:after="0" w:line="276" w:lineRule="auto"/>
              <w:rPr>
                <w:rFonts w:ascii="Times New Roman" w:eastAsia="Times New Roman" w:hAnsi="Times New Roman" w:cs="Times New Roman"/>
                <w:sz w:val="24"/>
                <w:szCs w:val="24"/>
              </w:rPr>
            </w:pPr>
          </w:p>
        </w:tc>
        <w:tc>
          <w:tcPr>
            <w:tcW w:w="190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6.3 Рентабельність активів</w:t>
            </w:r>
          </w:p>
        </w:tc>
        <w:tc>
          <w:tcPr>
            <w:tcW w:w="93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tabs>
                <w:tab w:val="left" w:pos="635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840"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5,8%</w:t>
            </w:r>
          </w:p>
        </w:tc>
        <w:tc>
          <w:tcPr>
            <w:tcW w:w="67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915" w:type="dxa"/>
            <w:tcBorders>
              <w:top w:val="single" w:sz="4" w:space="0" w:color="000000"/>
              <w:left w:val="single" w:sz="4" w:space="0" w:color="000000"/>
              <w:bottom w:val="single" w:sz="4" w:space="0" w:color="000000"/>
              <w:right w:val="single" w:sz="4" w:space="0" w:color="000000"/>
            </w:tcBorders>
            <w:tcMar>
              <w:top w:w="57" w:type="dxa"/>
              <w:left w:w="68" w:type="dxa"/>
              <w:bottom w:w="57" w:type="dxa"/>
              <w:right w:w="6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9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42249" w:rsidRDefault="00016EAC">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bl>
    <w:p w:rsidR="00542249" w:rsidRDefault="00016EAC">
      <w:pPr>
        <w:spacing w:after="280" w:line="240" w:lineRule="auto"/>
        <w:ind w:firstLine="720"/>
        <w:jc w:val="both"/>
        <w:rPr>
          <w:rFonts w:ascii="Times New Roman" w:eastAsia="Times New Roman" w:hAnsi="Times New Roman" w:cs="Times New Roman"/>
          <w:b/>
          <w:bCs/>
          <w:sz w:val="28"/>
          <w:szCs w:val="28"/>
        </w:rPr>
      </w:pPr>
      <w:r>
        <w:br w:type="page"/>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РОЗДІЛ 8. РИЗИКИ ТА УПРАВЛІННЯ НИМИ</w:t>
      </w:r>
    </w:p>
    <w:p w:rsidR="00542249" w:rsidRDefault="00016EAC">
      <w:pPr>
        <w:spacing w:after="280" w:line="240" w:lineRule="auto"/>
        <w:ind w:firstLine="720"/>
        <w:jc w:val="both"/>
        <w:rPr>
          <w:rFonts w:ascii="Times New Roman" w:eastAsia="Times New Roman" w:hAnsi="Times New Roman" w:cs="Times New Roman"/>
          <w:sz w:val="28"/>
          <w:szCs w:val="28"/>
        </w:rPr>
      </w:pPr>
      <w:bookmarkStart w:id="4" w:name="_heading=h.apeayxdt408y" w:colFirst="0" w:colLast="0"/>
      <w:bookmarkEnd w:id="4"/>
      <w:r>
        <w:rPr>
          <w:rFonts w:ascii="Times New Roman" w:eastAsia="Times New Roman" w:hAnsi="Times New Roman" w:cs="Times New Roman"/>
          <w:sz w:val="28"/>
          <w:szCs w:val="28"/>
        </w:rPr>
        <w:t xml:space="preserve">Реалізація Стратегії КП «БАРР» відбувається в умовах підвищеної </w:t>
      </w:r>
      <w:r>
        <w:rPr>
          <w:rFonts w:ascii="Times New Roman" w:eastAsia="Times New Roman" w:hAnsi="Times New Roman" w:cs="Times New Roman"/>
          <w:sz w:val="28"/>
          <w:szCs w:val="28"/>
        </w:rPr>
        <w:t>невизначеності. Основними ризиками є безпекові, політичні, кадрові, фінансові та технологічні.</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Безпекові ризики мінімізуються через страхування воєнних ризиків у співпраці з міжнародними інституціями та врахування вимог цивільного захисту у проєктах. Політ</w:t>
      </w:r>
      <w:r>
        <w:rPr>
          <w:rFonts w:ascii="Times New Roman" w:eastAsia="Times New Roman" w:hAnsi="Times New Roman" w:cs="Times New Roman"/>
          <w:sz w:val="28"/>
          <w:szCs w:val="28"/>
        </w:rPr>
        <w:t>ичні ризики знижуються шляхом закріплення стратегічних рішень рішеннями міської ради та забезпечення прозорості реалізації проєктів.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Кадрові ризики управляються через конкурентну оплату праці та мотивацію за результатами діяльності. Ризики втрати інституці</w:t>
      </w:r>
      <w:r>
        <w:rPr>
          <w:rFonts w:ascii="Times New Roman" w:eastAsia="Times New Roman" w:hAnsi="Times New Roman" w:cs="Times New Roman"/>
          <w:sz w:val="28"/>
          <w:szCs w:val="28"/>
        </w:rPr>
        <w:t>йної пам’яті зменшуються шляхом впровадження CRM та цифрових реєстрів.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Фінансові ризики знижуються за рахунок диверсифікації джерел фінансування та розвитку власних доходів Агенції. Технологічні ризики враховуються через базові заходи кіберзахисту та забез</w:t>
      </w:r>
      <w:r>
        <w:rPr>
          <w:rFonts w:ascii="Times New Roman" w:eastAsia="Times New Roman" w:hAnsi="Times New Roman" w:cs="Times New Roman"/>
          <w:sz w:val="28"/>
          <w:szCs w:val="28"/>
        </w:rPr>
        <w:t>печення стабільності цифрових сервісів.</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br w:type="page"/>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РОЗДІЛ 9. РОЛЬ КП "БАРР" У СИСТЕМІ УПРАВЛІННЯ ГРОМАДОЮ</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Цей розділ визначає чіткі межі повноважень Агенції розвитку, знімає потенційні політичні та управлінські ризики і фіксує управлінську логіку участі КП "БАРР" у проєктах громади.</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КП "БАРР" не підміняє органи місцевого самоврядування та:</w:t>
      </w:r>
    </w:p>
    <w:p w:rsidR="00542249" w:rsidRDefault="00016EAC">
      <w:pPr>
        <w:numPr>
          <w:ilvl w:val="0"/>
          <w:numId w:val="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 ухвалює політични</w:t>
      </w:r>
      <w:r>
        <w:rPr>
          <w:rFonts w:ascii="Times New Roman" w:eastAsia="Times New Roman" w:hAnsi="Times New Roman" w:cs="Times New Roman"/>
          <w:sz w:val="28"/>
          <w:szCs w:val="28"/>
        </w:rPr>
        <w:t>х рішень і не формує політику громади;</w:t>
      </w:r>
    </w:p>
    <w:p w:rsidR="00542249" w:rsidRDefault="00016EAC">
      <w:pPr>
        <w:numPr>
          <w:ilvl w:val="0"/>
          <w:numId w:val="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 розподіляє бюджетні кошти самостійно та не приймає фінальні фінансові рішення;</w:t>
      </w:r>
    </w:p>
    <w:p w:rsidR="00542249" w:rsidRDefault="00016EAC">
      <w:pPr>
        <w:numPr>
          <w:ilvl w:val="0"/>
          <w:numId w:val="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 виконує функції контролюючого або наглядового органу;</w:t>
      </w:r>
    </w:p>
    <w:p w:rsidR="00542249" w:rsidRDefault="00016EAC">
      <w:pPr>
        <w:numPr>
          <w:ilvl w:val="0"/>
          <w:numId w:val="1"/>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 займається операційним управлінням комунальними підприємствами, які не визн</w:t>
      </w:r>
      <w:r>
        <w:rPr>
          <w:rFonts w:ascii="Times New Roman" w:eastAsia="Times New Roman" w:hAnsi="Times New Roman" w:cs="Times New Roman"/>
          <w:sz w:val="28"/>
          <w:szCs w:val="28"/>
        </w:rPr>
        <w:t>ачені як проєкти Агенції;</w:t>
      </w:r>
    </w:p>
    <w:p w:rsidR="00542249" w:rsidRDefault="00016EAC">
      <w:pPr>
        <w:numPr>
          <w:ilvl w:val="0"/>
          <w:numId w:val="1"/>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 здійснює будівельні чи підрядні роботи власними силами.</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КП "БАРР" виконує функції, які не можуть бути ефективно реалізовані іншими підрозділами громади:</w:t>
      </w:r>
    </w:p>
    <w:p w:rsidR="00542249" w:rsidRDefault="00016EAC">
      <w:pPr>
        <w:numPr>
          <w:ilvl w:val="0"/>
          <w:numId w:val="39"/>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підготовка та супровід стратегічних інвестиційних проєктів;</w:t>
      </w:r>
    </w:p>
    <w:p w:rsidR="00542249" w:rsidRDefault="00016EAC">
      <w:pPr>
        <w:numPr>
          <w:ilvl w:val="0"/>
          <w:numId w:val="39"/>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залучення міжн</w:t>
      </w:r>
      <w:r>
        <w:rPr>
          <w:rFonts w:ascii="Times New Roman" w:eastAsia="Times New Roman" w:hAnsi="Times New Roman" w:cs="Times New Roman"/>
          <w:sz w:val="28"/>
          <w:szCs w:val="28"/>
        </w:rPr>
        <w:t>ародної технічної допомоги, грантів та партнерств;</w:t>
      </w:r>
    </w:p>
    <w:p w:rsidR="00542249" w:rsidRDefault="00016EAC">
      <w:pPr>
        <w:numPr>
          <w:ilvl w:val="0"/>
          <w:numId w:val="39"/>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формування інвестиційних продуктів громади (індустріальні парки, кластери, ДПП);</w:t>
      </w:r>
    </w:p>
    <w:p w:rsidR="00542249" w:rsidRDefault="00016EAC">
      <w:pPr>
        <w:numPr>
          <w:ilvl w:val="0"/>
          <w:numId w:val="39"/>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координація складних міжсекторальних проєктів (влада – бізнес – донори);</w:t>
      </w:r>
    </w:p>
    <w:p w:rsidR="00542249" w:rsidRDefault="00016EAC">
      <w:pPr>
        <w:numPr>
          <w:ilvl w:val="0"/>
          <w:numId w:val="39"/>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аналітична підтримка управлінських рішень (дані, сц</w:t>
      </w:r>
      <w:r>
        <w:rPr>
          <w:rFonts w:ascii="Times New Roman" w:eastAsia="Times New Roman" w:hAnsi="Times New Roman" w:cs="Times New Roman"/>
          <w:sz w:val="28"/>
          <w:szCs w:val="28"/>
        </w:rPr>
        <w:t>енарії, ризики).</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У проєктах, де Агенція визначена як оператор, КП "БАРР":</w:t>
      </w:r>
    </w:p>
    <w:p w:rsidR="00542249" w:rsidRDefault="00016EAC">
      <w:pPr>
        <w:numPr>
          <w:ilvl w:val="0"/>
          <w:numId w:val="28"/>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виступає замовником розробки проєктної документації;</w:t>
      </w:r>
    </w:p>
    <w:p w:rsidR="00542249" w:rsidRDefault="00016EAC">
      <w:pPr>
        <w:numPr>
          <w:ilvl w:val="0"/>
          <w:numId w:val="28"/>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координує підрядників, консультантів та донорів;</w:t>
      </w:r>
    </w:p>
    <w:p w:rsidR="00542249" w:rsidRDefault="00016EAC">
      <w:pPr>
        <w:numPr>
          <w:ilvl w:val="0"/>
          <w:numId w:val="28"/>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відповідає за строки, якість та досягнення цільових показників.</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Приклад: </w:t>
      </w:r>
      <w:r>
        <w:rPr>
          <w:rFonts w:ascii="Times New Roman" w:eastAsia="Times New Roman" w:hAnsi="Times New Roman" w:cs="Times New Roman"/>
          <w:sz w:val="28"/>
          <w:szCs w:val="28"/>
        </w:rPr>
        <w:t>муніципальний індустріальний парк «Бабинці».</w:t>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У проєктах приватної або змішаної ініціативи КП "БАРР":</w:t>
      </w:r>
    </w:p>
    <w:p w:rsidR="00542249" w:rsidRDefault="00016EAC">
      <w:pPr>
        <w:numPr>
          <w:ilvl w:val="0"/>
          <w:numId w:val="36"/>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забезпечує інституційну та інфраструктурну координацію;</w:t>
      </w:r>
    </w:p>
    <w:p w:rsidR="00542249" w:rsidRDefault="00016EAC">
      <w:pPr>
        <w:numPr>
          <w:ilvl w:val="0"/>
          <w:numId w:val="36"/>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супроводжує інвесторів у взаємодії з органами влади;</w:t>
      </w:r>
    </w:p>
    <w:p w:rsidR="00542249" w:rsidRDefault="00016EAC">
      <w:pPr>
        <w:numPr>
          <w:ilvl w:val="0"/>
          <w:numId w:val="36"/>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допомагає з отриманням державних статусів, про</w:t>
      </w:r>
      <w:r>
        <w:rPr>
          <w:rFonts w:ascii="Times New Roman" w:eastAsia="Times New Roman" w:hAnsi="Times New Roman" w:cs="Times New Roman"/>
          <w:sz w:val="28"/>
          <w:szCs w:val="28"/>
        </w:rPr>
        <w:t>грам та стимулів;</w:t>
      </w:r>
    </w:p>
    <w:p w:rsidR="00542249" w:rsidRDefault="00016EAC">
      <w:pPr>
        <w:numPr>
          <w:ilvl w:val="0"/>
          <w:numId w:val="36"/>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 несе операційної відповідальності за будівництво чи комерційну діяльність.</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Приклад: індустріальний кластер Bucha Techno Garden.</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КП "БАРР" працює як інструмент реалізації, а не як політичний суб’єкт.</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Рішення ухвалюються органами влади —</w:t>
      </w:r>
      <w:r>
        <w:rPr>
          <w:rFonts w:ascii="Times New Roman" w:eastAsia="Times New Roman" w:hAnsi="Times New Roman" w:cs="Times New Roman"/>
          <w:sz w:val="28"/>
          <w:szCs w:val="28"/>
        </w:rPr>
        <w:t xml:space="preserve"> КП "БАРР" забезпечує їх професійну, проєктну та інвестиційну реалізацію.</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Це дозволяє:</w:t>
      </w:r>
    </w:p>
    <w:p w:rsidR="00542249" w:rsidRDefault="00016EAC">
      <w:pPr>
        <w:numPr>
          <w:ilvl w:val="0"/>
          <w:numId w:val="5"/>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мінімізувати політичні ризики</w:t>
      </w:r>
    </w:p>
    <w:p w:rsidR="00542249" w:rsidRDefault="00016EAC">
      <w:pPr>
        <w:numPr>
          <w:ilvl w:val="0"/>
          <w:numId w:val="5"/>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захистити Агенцію від невластивих функцій;</w:t>
      </w:r>
    </w:p>
    <w:p w:rsidR="00542249" w:rsidRDefault="00016EAC">
      <w:pPr>
        <w:numPr>
          <w:ilvl w:val="0"/>
          <w:numId w:val="5"/>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зробити Стратегію практичним управлінським документом, а не декларацією.</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br w:type="page"/>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РОЗДІЛ 10. </w:t>
      </w:r>
      <w:r>
        <w:rPr>
          <w:rFonts w:ascii="Times New Roman" w:eastAsia="Times New Roman" w:hAnsi="Times New Roman" w:cs="Times New Roman"/>
          <w:b/>
          <w:bCs/>
          <w:sz w:val="28"/>
          <w:szCs w:val="28"/>
        </w:rPr>
        <w:t>ОЧІКУВАНІ РЕЗУЛЬТАТИ ТА КЛЮЧОВІ ІНДИКАТОРИ ЕФЕКТИВНОСТІ (KPI)</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Виконання стратегії забезпечить перетворення Бучі на регіональний хаб зростання.</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Економічні показники:</w:t>
      </w:r>
    </w:p>
    <w:p w:rsidR="00542249" w:rsidRDefault="00016EAC">
      <w:pPr>
        <w:numPr>
          <w:ilvl w:val="0"/>
          <w:numId w:val="25"/>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ІП «Бабинці» та залучення мінімум 5 якісних резидентів до 2028 року.</w:t>
      </w:r>
    </w:p>
    <w:p w:rsidR="00542249" w:rsidRDefault="00016EAC">
      <w:pPr>
        <w:numPr>
          <w:ilvl w:val="0"/>
          <w:numId w:val="25"/>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Приріст надходжень ПДФО до бюджету громади на 15% щорічно за рахунок нових виробництв.</w:t>
      </w:r>
    </w:p>
    <w:p w:rsidR="00542249" w:rsidRDefault="00016EAC">
      <w:pPr>
        <w:numPr>
          <w:ilvl w:val="0"/>
          <w:numId w:val="25"/>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Успішне відкриття та початок розбудови Bucha Techno Garden ІІ та запуск першої черги логістичного індустріального парку «White Star».</w:t>
      </w:r>
    </w:p>
    <w:p w:rsidR="00542249" w:rsidRDefault="00016EAC">
      <w:pPr>
        <w:spacing w:after="28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Соціальні показники:</w:t>
      </w:r>
    </w:p>
    <w:p w:rsidR="00542249" w:rsidRDefault="00016EAC">
      <w:pPr>
        <w:numPr>
          <w:ilvl w:val="0"/>
          <w:numId w:val="13"/>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Введення в екс</w:t>
      </w:r>
      <w:r>
        <w:rPr>
          <w:rFonts w:ascii="Times New Roman" w:eastAsia="Times New Roman" w:hAnsi="Times New Roman" w:cs="Times New Roman"/>
          <w:sz w:val="28"/>
          <w:szCs w:val="28"/>
        </w:rPr>
        <w:t>плуатацію 192 квартир муніципального орендного житла .</w:t>
      </w:r>
    </w:p>
    <w:p w:rsidR="00542249" w:rsidRDefault="00016EAC">
      <w:pPr>
        <w:numPr>
          <w:ilvl w:val="0"/>
          <w:numId w:val="13"/>
        </w:numPr>
        <w:spacing w:after="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Запуск рекреаційного кластеру «Мироцькі озера» з охопленням 500 відвідувачів на рік.</w:t>
      </w:r>
    </w:p>
    <w:p w:rsidR="00542249" w:rsidRDefault="00016EAC">
      <w:pPr>
        <w:numPr>
          <w:ilvl w:val="0"/>
          <w:numId w:val="13"/>
        </w:numPr>
        <w:spacing w:after="280" w:line="240" w:lineRule="auto"/>
        <w:ind w:left="0"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«Urban Space» як центру тяжіння для креативного класу та розвитку громадянського суспільтва.</w:t>
      </w: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542249">
      <w:pPr>
        <w:spacing w:after="280" w:line="240" w:lineRule="auto"/>
        <w:ind w:firstLine="720"/>
        <w:jc w:val="both"/>
        <w:rPr>
          <w:rFonts w:ascii="Times New Roman" w:eastAsia="Times New Roman" w:hAnsi="Times New Roman" w:cs="Times New Roman"/>
          <w:b/>
          <w:bCs/>
          <w:sz w:val="28"/>
          <w:szCs w:val="28"/>
        </w:rPr>
      </w:pPr>
    </w:p>
    <w:p w:rsidR="00542249" w:rsidRDefault="00016EAC">
      <w:pPr>
        <w:spacing w:after="280" w:line="240" w:lineRule="auto"/>
        <w:ind w:firstLine="720"/>
        <w:jc w:val="both"/>
        <w:rPr>
          <w:rFonts w:ascii="Times New Roman" w:eastAsia="Times New Roman" w:hAnsi="Times New Roman" w:cs="Times New Roman"/>
          <w:b/>
          <w:bCs/>
          <w:sz w:val="28"/>
          <w:szCs w:val="28"/>
        </w:rPr>
      </w:pPr>
      <w:r>
        <w:br w:type="page"/>
      </w:r>
    </w:p>
    <w:p w:rsidR="00542249" w:rsidRDefault="00016EAC">
      <w:pPr>
        <w:spacing w:after="280" w:line="24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Висновки</w:t>
      </w:r>
    </w:p>
    <w:p w:rsidR="00542249" w:rsidRDefault="00016EAC">
      <w:pPr>
        <w:spacing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Стратегія КП «КП "БАРР"» на 2026–2028 роки є дорожньою картою переходу від «виживання» до «процвітання». Роль Агенції як прямого реалізатора індустріального парку «Бабинці» демонструє зрілість муніципального управління та готовність громади брати </w:t>
      </w:r>
      <w:r>
        <w:rPr>
          <w:rFonts w:ascii="Times New Roman" w:eastAsia="Times New Roman" w:hAnsi="Times New Roman" w:cs="Times New Roman"/>
          <w:sz w:val="28"/>
          <w:szCs w:val="28"/>
        </w:rPr>
        <w:t xml:space="preserve">на себе девелоперські ризики заради створення робочих місць. Сприяння розвитку Bucha Techno Garden та розвиток Мироцьких озер забезпечують баланс між високотехнологічним розвитком та соціальною стійкістю. </w:t>
      </w:r>
    </w:p>
    <w:p w:rsidR="00542249" w:rsidRDefault="00542249">
      <w:pPr>
        <w:spacing w:line="240" w:lineRule="auto"/>
        <w:ind w:firstLine="720"/>
        <w:jc w:val="both"/>
        <w:rPr>
          <w:rFonts w:ascii="Times New Roman" w:eastAsia="Times New Roman" w:hAnsi="Times New Roman" w:cs="Times New Roman"/>
          <w:sz w:val="28"/>
          <w:szCs w:val="28"/>
        </w:rPr>
      </w:pPr>
    </w:p>
    <w:p w:rsidR="00542249" w:rsidRDefault="00016EAC">
      <w:pPr>
        <w:spacing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ВО Директора “КП “БАРР”                          </w:t>
      </w:r>
      <w:r>
        <w:rPr>
          <w:rFonts w:ascii="Times New Roman" w:eastAsia="Times New Roman" w:hAnsi="Times New Roman" w:cs="Times New Roman"/>
          <w:b/>
          <w:bCs/>
          <w:sz w:val="28"/>
          <w:szCs w:val="28"/>
        </w:rPr>
        <w:t xml:space="preserve">                  НАТАЛІЯ ЄФИМОВИЧ</w:t>
      </w:r>
    </w:p>
    <w:sectPr w:rsidR="00542249">
      <w:headerReference w:type="default" r:id="rId8"/>
      <w:footerReference w:type="default" r:id="rId9"/>
      <w:headerReference w:type="first" r:id="rId10"/>
      <w:footerReference w:type="first" r:id="rId11"/>
      <w:pgSz w:w="11906" w:h="16838"/>
      <w:pgMar w:top="1133" w:right="708" w:bottom="0" w:left="1417"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16EAC" w:rsidRDefault="00016EAC">
      <w:pPr>
        <w:spacing w:after="0" w:line="240" w:lineRule="auto"/>
      </w:pPr>
      <w:r>
        <w:separator/>
      </w:r>
    </w:p>
  </w:endnote>
  <w:endnote w:type="continuationSeparator" w:id="0">
    <w:p w:rsidR="00016EAC" w:rsidRDefault="00016E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C07D3529-A850-4AE8-A627-940CD7C9BA23}"/>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200247B" w:usb2="00000009" w:usb3="00000000" w:csb0="000001FF" w:csb1="00000000"/>
    <w:embedRegular r:id="rId2" w:fontKey="{48530019-B97A-47DE-99C2-692D0BB6A9C9}"/>
    <w:embedBold r:id="rId3" w:fontKey="{46898476-3196-4DA9-ACD6-E4467245A9C5}"/>
  </w:font>
  <w:font w:name="Georgia">
    <w:panose1 w:val="02040502050405020303"/>
    <w:charset w:val="CC"/>
    <w:family w:val="roman"/>
    <w:pitch w:val="variable"/>
    <w:sig w:usb0="00000287" w:usb1="00000000" w:usb2="00000000" w:usb3="00000000" w:csb0="0000009F" w:csb1="00000000"/>
    <w:embedItalic r:id="rId4" w:fontKey="{E897DDF1-D711-48C9-BF14-0A52CA5D2077}"/>
  </w:font>
  <w:font w:name="Cambria">
    <w:panose1 w:val="02040503050406030204"/>
    <w:charset w:val="CC"/>
    <w:family w:val="roman"/>
    <w:pitch w:val="variable"/>
    <w:sig w:usb0="E00006FF" w:usb1="420024FF" w:usb2="02000000" w:usb3="00000000" w:csb0="0000019F" w:csb1="00000000"/>
    <w:embedRegular r:id="rId5" w:fontKey="{6F0C430A-52AE-4DAC-9E1E-FD91E16E50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42249" w:rsidRDefault="00016EAC">
    <w:pPr>
      <w:jc w:val="right"/>
      <w:rPr>
        <w:rFonts w:ascii="Times New Roman" w:eastAsia="Times New Roman" w:hAnsi="Times New Roman" w:cs="Times New Roman"/>
        <w:b/>
        <w:bCs/>
        <w:sz w:val="28"/>
        <w:szCs w:val="28"/>
        <w:highlight w:val="white"/>
      </w:rPr>
    </w:pPr>
    <w:r>
      <w:rPr>
        <w:rFonts w:ascii="Times New Roman" w:eastAsia="Times New Roman" w:hAnsi="Times New Roman" w:cs="Times New Roman"/>
        <w:b/>
        <w:bCs/>
        <w:sz w:val="28"/>
        <w:szCs w:val="28"/>
        <w:highlight w:val="white"/>
      </w:rPr>
      <w:fldChar w:fldCharType="begin"/>
    </w:r>
    <w:r>
      <w:rPr>
        <w:rFonts w:ascii="Times New Roman" w:eastAsia="Times New Roman" w:hAnsi="Times New Roman" w:cs="Times New Roman"/>
        <w:b/>
        <w:bCs/>
        <w:sz w:val="28"/>
        <w:szCs w:val="28"/>
        <w:highlight w:val="white"/>
      </w:rPr>
      <w:instrText>PAGE</w:instrText>
    </w:r>
    <w:r>
      <w:rPr>
        <w:rFonts w:ascii="Times New Roman" w:eastAsia="Times New Roman" w:hAnsi="Times New Roman" w:cs="Times New Roman"/>
        <w:b/>
        <w:bCs/>
        <w:sz w:val="28"/>
        <w:szCs w:val="28"/>
        <w:highlight w:val="white"/>
      </w:rPr>
      <w:fldChar w:fldCharType="separate"/>
    </w:r>
    <w:r w:rsidR="001915D6">
      <w:rPr>
        <w:rFonts w:ascii="Times New Roman" w:eastAsia="Times New Roman" w:hAnsi="Times New Roman" w:cs="Times New Roman"/>
        <w:b/>
        <w:bCs/>
        <w:noProof/>
        <w:sz w:val="28"/>
        <w:szCs w:val="28"/>
        <w:highlight w:val="white"/>
      </w:rPr>
      <w:t>1</w:t>
    </w:r>
    <w:r>
      <w:rPr>
        <w:rFonts w:ascii="Times New Roman" w:eastAsia="Times New Roman" w:hAnsi="Times New Roman" w:cs="Times New Roman"/>
        <w:b/>
        <w:bCs/>
        <w:sz w:val="28"/>
        <w:szCs w:val="28"/>
        <w:highlight w:val="whit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42249" w:rsidRDefault="0054224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16EAC" w:rsidRDefault="00016EAC">
      <w:pPr>
        <w:spacing w:after="0" w:line="240" w:lineRule="auto"/>
      </w:pPr>
      <w:r>
        <w:separator/>
      </w:r>
    </w:p>
  </w:footnote>
  <w:footnote w:type="continuationSeparator" w:id="0">
    <w:p w:rsidR="00016EAC" w:rsidRDefault="00016E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42249" w:rsidRDefault="00016EAC">
    <w:pPr>
      <w:jc w:val="right"/>
    </w:pPr>
    <w:r>
      <w:rPr>
        <w:noProof/>
      </w:rPr>
      <w:drawing>
        <wp:anchor distT="0" distB="0" distL="0" distR="0" simplePos="0" relativeHeight="251658240" behindDoc="1" locked="0" layoutInCell="1" hidden="0" allowOverlap="1">
          <wp:simplePos x="0" y="0"/>
          <wp:positionH relativeFrom="page">
            <wp:posOffset>1</wp:posOffset>
          </wp:positionH>
          <wp:positionV relativeFrom="page">
            <wp:posOffset>138430</wp:posOffset>
          </wp:positionV>
          <wp:extent cx="7588100" cy="581025"/>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88100" cy="58102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42249" w:rsidRDefault="00542249">
    <w:pPr>
      <w:rPr>
        <w:shd w:val="clear" w:color="auto" w:fill="B6D7A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E068B"/>
    <w:multiLevelType w:val="multilevel"/>
    <w:tmpl w:val="7E24CEFA"/>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7D1143"/>
    <w:multiLevelType w:val="multilevel"/>
    <w:tmpl w:val="C76E80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38F2B34"/>
    <w:multiLevelType w:val="multilevel"/>
    <w:tmpl w:val="56A8C60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54F5007"/>
    <w:multiLevelType w:val="multilevel"/>
    <w:tmpl w:val="E348DE4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90B2142"/>
    <w:multiLevelType w:val="multilevel"/>
    <w:tmpl w:val="31E466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DD8520A"/>
    <w:multiLevelType w:val="multilevel"/>
    <w:tmpl w:val="09AA40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19A72E0"/>
    <w:multiLevelType w:val="multilevel"/>
    <w:tmpl w:val="7444DF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5190972"/>
    <w:multiLevelType w:val="multilevel"/>
    <w:tmpl w:val="0A12CD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5395E6B"/>
    <w:multiLevelType w:val="multilevel"/>
    <w:tmpl w:val="0694CF7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1B9135DD"/>
    <w:multiLevelType w:val="multilevel"/>
    <w:tmpl w:val="249CEB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1BF4160E"/>
    <w:multiLevelType w:val="multilevel"/>
    <w:tmpl w:val="A440B3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D213DC3"/>
    <w:multiLevelType w:val="multilevel"/>
    <w:tmpl w:val="1FF2F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27A4878"/>
    <w:multiLevelType w:val="multilevel"/>
    <w:tmpl w:val="C69AA4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227C25B3"/>
    <w:multiLevelType w:val="multilevel"/>
    <w:tmpl w:val="123E4A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231F1C4E"/>
    <w:multiLevelType w:val="multilevel"/>
    <w:tmpl w:val="2FD67F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5FC62FD"/>
    <w:multiLevelType w:val="multilevel"/>
    <w:tmpl w:val="89E0DE0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268C7E48"/>
    <w:multiLevelType w:val="multilevel"/>
    <w:tmpl w:val="D2F219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1F41870"/>
    <w:multiLevelType w:val="multilevel"/>
    <w:tmpl w:val="5468A9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4BF3B34"/>
    <w:multiLevelType w:val="multilevel"/>
    <w:tmpl w:val="0152FC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7B676DF"/>
    <w:multiLevelType w:val="multilevel"/>
    <w:tmpl w:val="1706C8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3A6B5209"/>
    <w:multiLevelType w:val="multilevel"/>
    <w:tmpl w:val="EC60B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B6C6ED1"/>
    <w:multiLevelType w:val="multilevel"/>
    <w:tmpl w:val="1200E5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C9D042D"/>
    <w:multiLevelType w:val="multilevel"/>
    <w:tmpl w:val="AA6EF14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3CF95020"/>
    <w:multiLevelType w:val="multilevel"/>
    <w:tmpl w:val="3B9E76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D5827BC"/>
    <w:multiLevelType w:val="multilevel"/>
    <w:tmpl w:val="1CB010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76705A1"/>
    <w:multiLevelType w:val="multilevel"/>
    <w:tmpl w:val="59AEE0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4B3A2E83"/>
    <w:multiLevelType w:val="multilevel"/>
    <w:tmpl w:val="37CCD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DE6401E"/>
    <w:multiLevelType w:val="multilevel"/>
    <w:tmpl w:val="028CEDE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51AD16EC"/>
    <w:multiLevelType w:val="multilevel"/>
    <w:tmpl w:val="39327BD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54A05440"/>
    <w:multiLevelType w:val="multilevel"/>
    <w:tmpl w:val="E334C2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4AD470D"/>
    <w:multiLevelType w:val="multilevel"/>
    <w:tmpl w:val="F04C1C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5710E41"/>
    <w:multiLevelType w:val="multilevel"/>
    <w:tmpl w:val="F24CDC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72D2302"/>
    <w:multiLevelType w:val="multilevel"/>
    <w:tmpl w:val="8A72C8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8AB4EEC"/>
    <w:multiLevelType w:val="multilevel"/>
    <w:tmpl w:val="16C296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61F07FF4"/>
    <w:multiLevelType w:val="multilevel"/>
    <w:tmpl w:val="F2125E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67EA4EB6"/>
    <w:multiLevelType w:val="multilevel"/>
    <w:tmpl w:val="C4BAC9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D3609EA"/>
    <w:multiLevelType w:val="multilevel"/>
    <w:tmpl w:val="F1FC04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EE05DD9"/>
    <w:multiLevelType w:val="multilevel"/>
    <w:tmpl w:val="2132E0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7F94E66"/>
    <w:multiLevelType w:val="multilevel"/>
    <w:tmpl w:val="CA1E8F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92C5605"/>
    <w:multiLevelType w:val="multilevel"/>
    <w:tmpl w:val="93FCAC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CA3577C"/>
    <w:multiLevelType w:val="multilevel"/>
    <w:tmpl w:val="12549B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7E45605F"/>
    <w:multiLevelType w:val="multilevel"/>
    <w:tmpl w:val="D7F8DA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9"/>
  </w:num>
  <w:num w:numId="2">
    <w:abstractNumId w:val="5"/>
  </w:num>
  <w:num w:numId="3">
    <w:abstractNumId w:val="36"/>
  </w:num>
  <w:num w:numId="4">
    <w:abstractNumId w:val="15"/>
  </w:num>
  <w:num w:numId="5">
    <w:abstractNumId w:val="35"/>
  </w:num>
  <w:num w:numId="6">
    <w:abstractNumId w:val="0"/>
  </w:num>
  <w:num w:numId="7">
    <w:abstractNumId w:val="18"/>
  </w:num>
  <w:num w:numId="8">
    <w:abstractNumId w:val="41"/>
  </w:num>
  <w:num w:numId="9">
    <w:abstractNumId w:val="9"/>
  </w:num>
  <w:num w:numId="10">
    <w:abstractNumId w:val="31"/>
  </w:num>
  <w:num w:numId="11">
    <w:abstractNumId w:val="8"/>
  </w:num>
  <w:num w:numId="12">
    <w:abstractNumId w:val="3"/>
  </w:num>
  <w:num w:numId="13">
    <w:abstractNumId w:val="25"/>
  </w:num>
  <w:num w:numId="14">
    <w:abstractNumId w:val="27"/>
  </w:num>
  <w:num w:numId="15">
    <w:abstractNumId w:val="2"/>
  </w:num>
  <w:num w:numId="16">
    <w:abstractNumId w:val="12"/>
  </w:num>
  <w:num w:numId="17">
    <w:abstractNumId w:val="33"/>
  </w:num>
  <w:num w:numId="18">
    <w:abstractNumId w:val="28"/>
  </w:num>
  <w:num w:numId="19">
    <w:abstractNumId w:val="40"/>
  </w:num>
  <w:num w:numId="20">
    <w:abstractNumId w:val="1"/>
  </w:num>
  <w:num w:numId="21">
    <w:abstractNumId w:val="22"/>
  </w:num>
  <w:num w:numId="22">
    <w:abstractNumId w:val="13"/>
  </w:num>
  <w:num w:numId="23">
    <w:abstractNumId w:val="7"/>
  </w:num>
  <w:num w:numId="24">
    <w:abstractNumId w:val="34"/>
  </w:num>
  <w:num w:numId="25">
    <w:abstractNumId w:val="19"/>
  </w:num>
  <w:num w:numId="26">
    <w:abstractNumId w:val="39"/>
  </w:num>
  <w:num w:numId="27">
    <w:abstractNumId w:val="21"/>
  </w:num>
  <w:num w:numId="28">
    <w:abstractNumId w:val="14"/>
  </w:num>
  <w:num w:numId="29">
    <w:abstractNumId w:val="11"/>
  </w:num>
  <w:num w:numId="30">
    <w:abstractNumId w:val="23"/>
  </w:num>
  <w:num w:numId="31">
    <w:abstractNumId w:val="26"/>
  </w:num>
  <w:num w:numId="32">
    <w:abstractNumId w:val="20"/>
  </w:num>
  <w:num w:numId="33">
    <w:abstractNumId w:val="4"/>
  </w:num>
  <w:num w:numId="34">
    <w:abstractNumId w:val="6"/>
  </w:num>
  <w:num w:numId="35">
    <w:abstractNumId w:val="37"/>
  </w:num>
  <w:num w:numId="36">
    <w:abstractNumId w:val="16"/>
  </w:num>
  <w:num w:numId="37">
    <w:abstractNumId w:val="10"/>
  </w:num>
  <w:num w:numId="38">
    <w:abstractNumId w:val="38"/>
  </w:num>
  <w:num w:numId="39">
    <w:abstractNumId w:val="17"/>
  </w:num>
  <w:num w:numId="40">
    <w:abstractNumId w:val="30"/>
  </w:num>
  <w:num w:numId="41">
    <w:abstractNumId w:val="32"/>
  </w:num>
  <w:num w:numId="4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2249"/>
    <w:rsid w:val="00016EAC"/>
    <w:rsid w:val="001915D6"/>
    <w:rsid w:val="00542249"/>
    <w:rsid w:val="008832C5"/>
    <w:rsid w:val="009310BE"/>
    <w:rsid w:val="00B25EB8"/>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454F57"/>
  <w15:docId w15:val="{DBF5A6DD-6730-4CDE-A63B-6957D35AE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spacing w:line="240" w:lineRule="auto"/>
      <w:outlineLvl w:val="0"/>
    </w:pPr>
    <w:rPr>
      <w:rFonts w:ascii="Times New Roman" w:eastAsia="Times New Roman" w:hAnsi="Times New Roman" w:cs="Times New Roman"/>
      <w:b/>
      <w:bCs/>
      <w:sz w:val="48"/>
      <w:szCs w:val="48"/>
    </w:rPr>
  </w:style>
  <w:style w:type="paragraph" w:styleId="2">
    <w:name w:val="heading 2"/>
    <w:basedOn w:val="a"/>
    <w:next w:val="a"/>
    <w:uiPriority w:val="9"/>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unhideWhenUsed/>
    <w:qFormat/>
    <w:pPr>
      <w:spacing w:line="240" w:lineRule="auto"/>
      <w:outlineLvl w:val="2"/>
    </w:pPr>
    <w:rPr>
      <w:rFonts w:ascii="Times New Roman" w:eastAsia="Times New Roman" w:hAnsi="Times New Roman" w:cs="Times New Roman"/>
      <w:b/>
      <w:bCs/>
      <w:sz w:val="27"/>
      <w:szCs w:val="27"/>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widowControl w:val="0"/>
      <w:spacing w:before="251" w:after="0" w:line="240" w:lineRule="auto"/>
      <w:ind w:left="4783" w:right="3340"/>
      <w:jc w:val="center"/>
    </w:pPr>
    <w:rPr>
      <w:rFonts w:ascii="Times New Roman" w:eastAsia="Times New Roman" w:hAnsi="Times New Roman" w:cs="Times New Roman"/>
      <w:b/>
      <w:bCs/>
      <w:sz w:val="39"/>
      <w:szCs w:val="39"/>
    </w:rPr>
  </w:style>
  <w:style w:type="table" w:customStyle="1" w:styleId="TableNormal0">
    <w:name w:val="TableNormal"/>
    <w:tblPr>
      <w:tblCellMar>
        <w:top w:w="100" w:type="dxa"/>
        <w:left w:w="100" w:type="dxa"/>
        <w:bottom w:w="100" w:type="dxa"/>
        <w:right w:w="100" w:type="dxa"/>
      </w:tblCellMar>
    </w:tblPr>
  </w:style>
  <w:style w:type="table" w:customStyle="1" w:styleId="a4">
    <w:basedOn w:val="TableNormal0"/>
    <w:pPr>
      <w:widowControl w:val="0"/>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tblPr>
      <w:tblStyleRowBandSize w:val="1"/>
      <w:tblStyleColBandSize w:val="1"/>
      <w:tblCellMar>
        <w:top w:w="15" w:type="dxa"/>
        <w:left w:w="15" w:type="dxa"/>
        <w:bottom w:w="15" w:type="dxa"/>
        <w:right w:w="15" w:type="dxa"/>
      </w:tblCellMar>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CellMar>
        <w:top w:w="15" w:type="dxa"/>
        <w:left w:w="15" w:type="dxa"/>
        <w:bottom w:w="15" w:type="dxa"/>
        <w:right w:w="15" w:type="dxa"/>
      </w:tblCellMar>
    </w:tblPr>
  </w:style>
  <w:style w:type="table" w:customStyle="1" w:styleId="a8">
    <w:basedOn w:val="TableNormal0"/>
    <w:tblPr>
      <w:tblStyleRowBandSize w:val="1"/>
      <w:tblStyleColBandSize w:val="1"/>
      <w:tblCellMar>
        <w:top w:w="15" w:type="dxa"/>
        <w:left w:w="15" w:type="dxa"/>
        <w:bottom w:w="15" w:type="dxa"/>
        <w:right w:w="15" w:type="dxa"/>
      </w:tblCellMar>
    </w:tblPr>
  </w:style>
  <w:style w:type="table" w:customStyle="1" w:styleId="a9">
    <w:basedOn w:val="TableNormal0"/>
    <w:tblPr>
      <w:tblStyleRowBandSize w:val="1"/>
      <w:tblStyleColBandSize w:val="1"/>
      <w:tblCellMar>
        <w:top w:w="15" w:type="dxa"/>
        <w:left w:w="15" w:type="dxa"/>
        <w:bottom w:w="15" w:type="dxa"/>
        <w:right w:w="15" w:type="dxa"/>
      </w:tblCellMar>
    </w:tblPr>
  </w:style>
  <w:style w:type="table" w:customStyle="1" w:styleId="aa">
    <w:basedOn w:val="TableNormal0"/>
    <w:tblPr>
      <w:tblStyleRowBandSize w:val="1"/>
      <w:tblStyleColBandSize w:val="1"/>
      <w:tblCellMar>
        <w:top w:w="15" w:type="dxa"/>
        <w:left w:w="15" w:type="dxa"/>
        <w:bottom w:w="15" w:type="dxa"/>
        <w:right w:w="15" w:type="dxa"/>
      </w:tblCellMar>
    </w:tblPr>
  </w:style>
  <w:style w:type="table" w:customStyle="1" w:styleId="ab">
    <w:basedOn w:val="TableNormal0"/>
    <w:tblPr>
      <w:tblStyleRowBandSize w:val="1"/>
      <w:tblStyleColBandSize w:val="1"/>
      <w:tblCellMar>
        <w:top w:w="15" w:type="dxa"/>
        <w:left w:w="15" w:type="dxa"/>
        <w:bottom w:w="15" w:type="dxa"/>
        <w:right w:w="15" w:type="dxa"/>
      </w:tblCellMar>
    </w:tblPr>
  </w:style>
  <w:style w:type="paragraph" w:styleId="ac">
    <w:name w:val="annotation text"/>
    <w:link w:val="ad"/>
    <w:uiPriority w:val="99"/>
    <w:semiHidden/>
    <w:unhideWhenUsed/>
    <w:pPr>
      <w:spacing w:line="240" w:lineRule="auto"/>
    </w:pPr>
    <w:rPr>
      <w:sz w:val="20"/>
      <w:szCs w:val="20"/>
    </w:rPr>
  </w:style>
  <w:style w:type="character" w:customStyle="1" w:styleId="ad">
    <w:name w:val="Текст примітки Знак"/>
    <w:basedOn w:val="a0"/>
    <w:link w:val="ac"/>
    <w:uiPriority w:val="99"/>
    <w:semiHidden/>
    <w:rPr>
      <w:sz w:val="20"/>
      <w:szCs w:val="20"/>
    </w:rPr>
  </w:style>
  <w:style w:type="character" w:styleId="ae">
    <w:name w:val="annotation reference"/>
    <w:basedOn w:val="a0"/>
    <w:uiPriority w:val="99"/>
    <w:semiHidden/>
    <w:unhideWhenUsed/>
    <w:rPr>
      <w:sz w:val="16"/>
      <w:szCs w:val="16"/>
    </w:rPr>
  </w:style>
  <w:style w:type="paragraph" w:styleId="af">
    <w:name w:val="List Paragraph"/>
    <w:uiPriority w:val="34"/>
    <w:qFormat/>
    <w:rsid w:val="0019390A"/>
    <w:pPr>
      <w:ind w:left="720"/>
      <w:contextualSpacing/>
    </w:pPr>
  </w:style>
  <w:style w:type="paragraph" w:styleId="af0">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1">
    <w:basedOn w:val="TableNormal0"/>
    <w:pPr>
      <w:widowControl w:val="0"/>
      <w:spacing w:after="0" w:line="240" w:lineRule="auto"/>
    </w:pPr>
    <w:tblPr>
      <w:tblStyleRowBandSize w:val="1"/>
      <w:tblStyleColBandSize w:val="1"/>
      <w:tblCellMar>
        <w:top w:w="0" w:type="dxa"/>
        <w:left w:w="108" w:type="dxa"/>
        <w:bottom w:w="0" w:type="dxa"/>
        <w:right w:w="108" w:type="dxa"/>
      </w:tblCellMar>
    </w:tblPr>
  </w:style>
  <w:style w:type="table" w:customStyle="1" w:styleId="af2">
    <w:basedOn w:val="TableNormal0"/>
    <w:tblPr>
      <w:tblStyleRowBandSize w:val="1"/>
      <w:tblStyleColBandSize w:val="1"/>
      <w:tblCellMar>
        <w:top w:w="15" w:type="dxa"/>
        <w:left w:w="15" w:type="dxa"/>
        <w:bottom w:w="15" w:type="dxa"/>
        <w:right w:w="15" w:type="dxa"/>
      </w:tblCellMar>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CellMar>
        <w:top w:w="15" w:type="dxa"/>
        <w:left w:w="15" w:type="dxa"/>
        <w:bottom w:w="15" w:type="dxa"/>
        <w:right w:w="15" w:type="dxa"/>
      </w:tblCellMar>
    </w:tblPr>
  </w:style>
  <w:style w:type="table" w:customStyle="1" w:styleId="af5">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qc19yuJrNJ9xEaPoNZZncJrr8g==">CgMxLjAyDmguMmd3bGZ1aGg4bXFhMg5oLnVleGRibGpydzE4dzIOaC5uOHY5a28xZjB2NWgyDmguNHU1MjVsdzY1cWV1Mg5oLmFwZWF5eGR0NDA4eTgAciExa3pMbXlrdS0xLUpmZ3FiUThaN3ZUUGRyaXZkZlJ3N0Q=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32</Pages>
  <Words>29517</Words>
  <Characters>16826</Characters>
  <Application>Microsoft Office Word</Application>
  <DocSecurity>0</DocSecurity>
  <Lines>140</Lines>
  <Paragraphs>92</Paragraphs>
  <ScaleCrop>false</ScaleCrop>
  <Company/>
  <LinksUpToDate>false</LinksUpToDate>
  <CharactersWithSpaces>46251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Nataliia Yefymovych</dc:creator>
  <cp:lastModifiedBy>Olha Pronko</cp:lastModifiedBy>
  <cp:revision>3</cp:revision>
  <dcterms:created xsi:type="dcterms:W3CDTF">2026-03-13T09:45:00Z</dcterms:created>
  <dcterms:modified xsi:type="dcterms:W3CDTF">2026-04-16T10:43:00Z</dcterms:modified>
</cp:coreProperties>
</file>